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footer4.xml" ContentType="application/vnd.openxmlformats-officedocument.wordprocessingml.footer+xml"/>
  <Override PartName="/word/media/image1.png" ContentType="image/png"/>
  <Override PartName="/word/media/image2.wmf" ContentType="image/x-wmf"/>
  <Override PartName="/word/media/image5.emf" ContentType="image/x-emf"/>
  <Override PartName="/word/media/image3.wmf" ContentType="image/x-wmf"/>
  <Override PartName="/word/media/image4.wmf" ContentType="image/x-wmf"/>
  <Override PartName="/word/media/image6.wmf" ContentType="image/x-wmf"/>
  <Override PartName="/word/media/image7.emf" ContentType="image/x-emf"/>
  <Override PartName="/word/media/image9.emf" ContentType="image/x-emf"/>
  <Override PartName="/word/media/image8.png" ContentType="image/png"/>
  <Override PartName="/word/media/image10.png" ContentType="image/png"/>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mbeddings/oleObject1.xlsx" ContentType="application/vnd.openxmlformats-officedocument.spreadsheetml.sheet"/>
  <Override PartName="/word/embeddings/oleObject2.xlsx" ContentType="application/vnd.openxmlformats-officedocument.spreadsheetml.sheet"/>
  <Override PartName="/word/embeddings/oleObject3.xlsx" ContentType="application/vnd.openxmlformats-officedocument.spreadsheetml.sheet"/>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rPr>
          <w:rFonts w:eastAsia="Arial Unicode MS" w:cs="Calibri"/>
          <w:szCs w:val="22"/>
          <w:lang w:val="el-GR"/>
        </w:rPr>
      </w:pPr>
      <w:r>
        <w:rPr>
          <w:rFonts w:eastAsia="Arial Unicode MS" w:cs="Calibri"/>
          <w:szCs w:val="22"/>
          <w:lang w:val="el-GR"/>
        </w:rPr>
        <w:t xml:space="preserve">                                  </w:t>
      </w:r>
    </w:p>
    <w:tbl>
      <w:tblPr>
        <w:tblW w:w="5104" w:type="dxa"/>
        <w:jc w:val="left"/>
        <w:tblInd w:w="-142" w:type="dxa"/>
        <w:tblCellMar>
          <w:top w:w="0" w:type="dxa"/>
          <w:left w:w="108" w:type="dxa"/>
          <w:bottom w:w="0" w:type="dxa"/>
          <w:right w:w="108" w:type="dxa"/>
        </w:tblCellMar>
      </w:tblPr>
      <w:tblGrid>
        <w:gridCol w:w="5104"/>
      </w:tblGrid>
      <w:tr>
        <w:trPr>
          <w:trHeight w:val="1464" w:hRule="atLeast"/>
        </w:trPr>
        <w:tc>
          <w:tcPr>
            <w:tcW w:w="5104" w:type="dxa"/>
            <w:tcBorders/>
            <w:shd w:color="auto" w:fill="auto" w:val="clear"/>
          </w:tcPr>
          <w:p>
            <w:pPr>
              <w:pStyle w:val="Normal"/>
              <w:tabs>
                <w:tab w:val="clear" w:pos="720"/>
                <w:tab w:val="left" w:pos="4996" w:leader="none"/>
              </w:tabs>
              <w:spacing w:lineRule="auto" w:line="360"/>
              <w:ind w:left="-108" w:right="0" w:hanging="0"/>
              <w:jc w:val="center"/>
              <w:rPr/>
            </w:pPr>
            <w:r>
              <w:rPr/>
              <w:drawing>
                <wp:inline distT="0" distB="0" distL="0" distR="0">
                  <wp:extent cx="397510" cy="418465"/>
                  <wp:effectExtent l="0" t="0" r="0" b="0"/>
                  <wp:docPr id="1" name="Εικόνα 8"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8" descr="https://encrypted-tbn1.gstatic.com/images?q=tbn:ANd9GcRQFBh6D7GX0t_9wVKqNVmKUT17t725cJ2zXkPAwlaTHH_YCwcceemZJw"/>
                          <pic:cNvPicPr>
                            <a:picLocks noChangeAspect="1" noChangeArrowheads="1"/>
                          </pic:cNvPicPr>
                        </pic:nvPicPr>
                        <pic:blipFill>
                          <a:blip r:embed="rId2"/>
                          <a:stretch>
                            <a:fillRect/>
                          </a:stretch>
                        </pic:blipFill>
                        <pic:spPr bwMode="auto">
                          <a:xfrm>
                            <a:off x="0" y="0"/>
                            <a:ext cx="397510" cy="418465"/>
                          </a:xfrm>
                          <a:prstGeom prst="rect">
                            <a:avLst/>
                          </a:prstGeom>
                        </pic:spPr>
                      </pic:pic>
                    </a:graphicData>
                  </a:graphic>
                </wp:inline>
              </w:drawing>
            </w:r>
          </w:p>
          <w:p>
            <w:pPr>
              <w:pStyle w:val="Normal"/>
              <w:tabs>
                <w:tab w:val="clear" w:pos="720"/>
                <w:tab w:val="left" w:pos="4996" w:leader="none"/>
              </w:tabs>
              <w:spacing w:lineRule="auto" w:line="360" w:before="0" w:after="0"/>
              <w:ind w:left="-108" w:right="0" w:hanging="0"/>
              <w:jc w:val="center"/>
              <w:rPr>
                <w:rFonts w:eastAsia="Arial Unicode MS" w:cs="Calibri"/>
                <w:b/>
                <w:b/>
                <w:szCs w:val="22"/>
                <w:lang w:val="el-GR"/>
              </w:rPr>
            </w:pPr>
            <w:r>
              <w:rPr>
                <w:rFonts w:eastAsia="Arial Unicode MS" w:cs="Calibri"/>
                <w:b/>
                <w:szCs w:val="22"/>
                <w:lang w:val="el-GR"/>
              </w:rPr>
              <w:t>ΕΛΛΗΝΙΚΗ ΔΗΜΟΚΡΑΤΙΑ</w:t>
            </w:r>
          </w:p>
          <w:p>
            <w:pPr>
              <w:pStyle w:val="Normal"/>
              <w:tabs>
                <w:tab w:val="clear" w:pos="720"/>
                <w:tab w:val="left" w:pos="4996" w:leader="none"/>
              </w:tabs>
              <w:spacing w:lineRule="auto" w:line="360" w:before="0" w:after="0"/>
              <w:ind w:left="-108" w:right="0" w:hanging="0"/>
              <w:jc w:val="center"/>
              <w:rPr>
                <w:rFonts w:eastAsia="Arial Unicode MS" w:cs="Calibri"/>
                <w:b/>
                <w:b/>
                <w:szCs w:val="22"/>
                <w:lang w:val="el-GR"/>
              </w:rPr>
            </w:pPr>
            <w:r>
              <w:rPr>
                <w:rFonts w:eastAsia="Arial Unicode MS" w:cs="Calibri"/>
                <w:b/>
                <w:szCs w:val="22"/>
                <w:lang w:val="el-GR"/>
              </w:rPr>
              <w:t>ΥΠΟΥΡΓΕΙΟ ΕΡΓΑΣΙΑΣ &amp; ΚΟΙΝΩΝΙΚΗΣ  ΑΣΦΑΛΙΣΗΣ</w:t>
            </w:r>
          </w:p>
          <w:p>
            <w:pPr>
              <w:pStyle w:val="Normal"/>
              <w:tabs>
                <w:tab w:val="clear" w:pos="720"/>
                <w:tab w:val="left" w:pos="4996" w:leader="none"/>
              </w:tabs>
              <w:spacing w:lineRule="auto" w:line="360" w:before="0" w:after="0"/>
              <w:ind w:left="-108" w:right="0" w:hanging="0"/>
              <w:jc w:val="center"/>
              <w:rPr/>
            </w:pPr>
            <w:r>
              <w:rPr>
                <w:rFonts w:eastAsia="Arial Unicode MS" w:cs="Calibri"/>
                <w:b/>
                <w:color w:val="365F91"/>
                <w:szCs w:val="22"/>
                <w:lang w:val="en-US"/>
              </w:rPr>
              <w:t>e</w:t>
            </w:r>
            <w:r>
              <w:rPr>
                <w:rFonts w:eastAsia="Arial Unicode MS" w:cs="Calibri"/>
                <w:b/>
                <w:color w:val="365F91"/>
                <w:szCs w:val="22"/>
                <w:lang w:val="el-GR"/>
              </w:rPr>
              <w:t>-ΕΦΚΑ</w:t>
            </w:r>
          </w:p>
          <w:p>
            <w:pPr>
              <w:pStyle w:val="Normal"/>
              <w:spacing w:lineRule="auto" w:line="360" w:before="0" w:after="0"/>
              <w:ind w:left="-108" w:right="0" w:firstLine="34"/>
              <w:contextualSpacing/>
              <w:jc w:val="center"/>
              <w:rPr>
                <w:rFonts w:eastAsia="Arial Unicode MS" w:cs="Calibri"/>
                <w:b/>
                <w:b/>
                <w:color w:val="365F91"/>
                <w:szCs w:val="22"/>
                <w:lang w:val="el-GR"/>
              </w:rPr>
            </w:pPr>
            <w:r>
              <w:rPr>
                <w:rFonts w:eastAsia="Arial Unicode MS" w:cs="Calibri"/>
                <w:b/>
                <w:color w:val="365F91"/>
                <w:szCs w:val="22"/>
                <w:lang w:val="el-GR"/>
              </w:rPr>
              <w:t>ΗΛΕΚΤΡΟΝΙΚΟΣ ΕΘΝΙΚΟΣ ΦΟΡΕΑΣ ΚΟΙΝΩΝΙΚΗΣ ΑΣΦΑΛΙΣΗΣ</w:t>
            </w:r>
          </w:p>
        </w:tc>
      </w:tr>
    </w:tbl>
    <w:p>
      <w:pPr>
        <w:pStyle w:val="Normal"/>
        <w:spacing w:lineRule="auto" w:line="360" w:before="0" w:after="0"/>
        <w:rPr>
          <w:rFonts w:ascii="Calibri" w:hAnsi="Calibri" w:eastAsia="Arial Unicode MS" w:cs="Calibri"/>
          <w:szCs w:val="22"/>
          <w:lang w:val="el-GR"/>
        </w:rPr>
      </w:pPr>
      <w:r>
        <w:rPr>
          <w:rFonts w:eastAsia="Arial Unicode MS" w:cs="Calibri"/>
          <w:szCs w:val="22"/>
          <w:lang w:val="el-GR"/>
        </w:rPr>
      </w:r>
    </w:p>
    <w:p>
      <w:pPr>
        <w:pStyle w:val="Normal"/>
        <w:spacing w:lineRule="auto" w:line="360" w:before="0" w:after="0"/>
        <w:rPr>
          <w:rFonts w:eastAsia="Arial Unicode MS" w:cs="Calibri"/>
          <w:szCs w:val="22"/>
          <w:lang w:val="el-GR"/>
        </w:rPr>
      </w:pPr>
      <w:r>
        <w:rPr>
          <w:rFonts w:eastAsia="Arial Unicode MS" w:cs="Calibri"/>
          <w:szCs w:val="22"/>
          <w:lang w:val="el-GR"/>
        </w:rPr>
        <w:tab/>
        <w:tab/>
        <w:tab/>
      </w:r>
    </w:p>
    <w:p>
      <w:pPr>
        <w:pStyle w:val="Normal"/>
        <w:spacing w:lineRule="auto" w:line="360" w:before="0" w:after="0"/>
        <w:rPr>
          <w:rFonts w:ascii="Calibri" w:hAnsi="Calibri" w:eastAsia="Arial Unicode MS" w:cs="Calibri"/>
          <w:szCs w:val="22"/>
          <w:lang w:val="el-GR"/>
        </w:rPr>
      </w:pPr>
      <w:r>
        <w:rPr>
          <w:rFonts w:eastAsia="Arial Unicode MS" w:cs="Calibri"/>
          <w:szCs w:val="22"/>
          <w:lang w:val="el-GR"/>
        </w:rPr>
      </w:r>
    </w:p>
    <w:p>
      <w:pPr>
        <w:pStyle w:val="Normal"/>
        <w:spacing w:lineRule="auto" w:line="360" w:before="0" w:after="0"/>
        <w:rPr>
          <w:rFonts w:ascii="Calibri" w:hAnsi="Calibri" w:eastAsia="Arial Unicode MS" w:cs="Calibri"/>
          <w:szCs w:val="22"/>
          <w:lang w:val="el-GR"/>
        </w:rPr>
      </w:pPr>
      <w:r>
        <w:rPr>
          <w:rFonts w:eastAsia="Arial Unicode MS" w:cs="Calibri"/>
          <w:szCs w:val="22"/>
          <w:lang w:val="el-GR"/>
        </w:rPr>
      </w:r>
    </w:p>
    <w:p>
      <w:pPr>
        <w:pStyle w:val="Normal"/>
        <w:spacing w:lineRule="auto" w:line="360" w:before="0" w:after="0"/>
        <w:rPr/>
      </w:pPr>
      <w:r>
        <w:rPr>
          <w:rFonts w:eastAsia="Arial Unicode MS" w:cs="Calibri"/>
          <w:szCs w:val="22"/>
          <w:lang w:val="el-GR"/>
        </w:rPr>
        <w:tab/>
        <w:tab/>
        <w:tab/>
        <w:tab/>
        <w:tab/>
        <w:tab/>
        <w:tab/>
      </w:r>
      <w:r>
        <w:rPr>
          <w:rFonts w:eastAsia="Arial Unicode MS" w:cs="Calibri"/>
          <w:b/>
          <w:szCs w:val="22"/>
          <w:lang w:val="el-GR"/>
        </w:rPr>
        <w:t>Αρ. Διακήρυξης:  349640 /</w:t>
      </w:r>
      <w:r>
        <w:rPr>
          <w:rFonts w:eastAsia="Arial Unicode MS" w:cs="Calibri"/>
          <w:b/>
          <w:szCs w:val="22"/>
          <w:lang w:val="en-US"/>
        </w:rPr>
        <w:t>14-07-2023</w:t>
      </w:r>
    </w:p>
    <w:p>
      <w:pPr>
        <w:pStyle w:val="Normal"/>
        <w:spacing w:lineRule="auto" w:line="360" w:before="0" w:after="0"/>
        <w:rPr/>
      </w:pPr>
      <w:r>
        <w:rPr>
          <w:rFonts w:eastAsia="Arial Unicode MS" w:cs="Calibri"/>
          <w:szCs w:val="22"/>
          <w:lang w:val="el-GR"/>
        </w:rPr>
        <w:tab/>
        <w:tab/>
        <w:tab/>
        <w:tab/>
        <w:tab/>
        <w:tab/>
        <w:tab/>
      </w:r>
      <w:r>
        <w:rPr>
          <w:rFonts w:eastAsia="Arial Unicode MS" w:cs="Calibri"/>
          <w:b/>
          <w:szCs w:val="22"/>
          <w:lang w:val="el-GR"/>
        </w:rPr>
        <w:t>Συστ. αρ. ΕΣΗΔΗΣ: 143718</w:t>
        <w:tab/>
        <w:tab/>
        <w:tab/>
        <w:tab/>
        <w:tab/>
        <w:tab/>
        <w:t xml:space="preserve">                                        </w:t>
      </w:r>
      <w:r>
        <w:rPr>
          <w:rFonts w:eastAsia="Arial Unicode MS" w:cs="Calibri"/>
          <w:b/>
          <w:bCs/>
          <w:szCs w:val="22"/>
          <w:lang w:val="el-GR"/>
        </w:rPr>
        <w:t xml:space="preserve">                  ΑΔΑΜ:</w:t>
      </w:r>
      <w:r>
        <w:rPr>
          <w:b/>
          <w:bCs/>
          <w:lang w:val="el-GR"/>
        </w:rPr>
        <w:t xml:space="preserve"> 23PROC013087902</w:t>
      </w:r>
    </w:p>
    <w:p>
      <w:pPr>
        <w:pStyle w:val="Normal"/>
        <w:spacing w:lineRule="auto" w:line="360" w:before="0" w:after="0"/>
        <w:rPr>
          <w:lang w:val="el-GR"/>
        </w:rPr>
      </w:pPr>
      <w:r>
        <w:rPr/>
      </w:r>
    </w:p>
    <w:p>
      <w:pPr>
        <w:pStyle w:val="Normal"/>
        <w:spacing w:lineRule="auto" w:line="360" w:before="0" w:after="0"/>
        <w:rPr>
          <w:rFonts w:ascii="Calibri" w:hAnsi="Calibri" w:eastAsia="Arial Unicode MS" w:cs="Calibri"/>
          <w:b/>
          <w:b/>
          <w:szCs w:val="22"/>
          <w:lang w:val="el-GR"/>
        </w:rPr>
      </w:pPr>
      <w:r>
        <w:rPr>
          <w:rFonts w:eastAsia="Arial Unicode MS" w:cs="Calibri"/>
          <w:b/>
          <w:szCs w:val="22"/>
          <w:lang w:val="el-GR"/>
        </w:rPr>
      </w:r>
    </w:p>
    <w:p>
      <w:pPr>
        <w:pStyle w:val="Normal"/>
        <w:spacing w:lineRule="auto" w:line="360" w:before="0" w:after="0"/>
        <w:rPr>
          <w:rFonts w:ascii="Calibri" w:hAnsi="Calibri" w:eastAsia="Arial Unicode MS" w:cs="Calibri"/>
          <w:b/>
          <w:b/>
          <w:szCs w:val="22"/>
          <w:lang w:val="el-GR"/>
        </w:rPr>
      </w:pPr>
      <w:r>
        <w:rPr>
          <w:rFonts w:eastAsia="Arial Unicode MS" w:cs="Calibri"/>
          <w:b/>
          <w:szCs w:val="22"/>
          <w:lang w:val="el-GR"/>
        </w:rPr>
      </w:r>
    </w:p>
    <w:p>
      <w:pPr>
        <w:pStyle w:val="Normal"/>
        <w:spacing w:lineRule="auto" w:line="360" w:before="0" w:after="0"/>
        <w:rPr>
          <w:rFonts w:ascii="Calibri" w:hAnsi="Calibri" w:eastAsia="Arial Unicode MS" w:cs="Calibri"/>
          <w:b/>
          <w:b/>
          <w:szCs w:val="22"/>
          <w:lang w:val="el-GR"/>
        </w:rPr>
      </w:pPr>
      <w:r>
        <w:rPr>
          <w:rFonts w:eastAsia="Arial Unicode MS" w:cs="Calibri"/>
          <w:b/>
          <w:szCs w:val="22"/>
          <w:lang w:val="el-GR"/>
        </w:rPr>
      </w:r>
    </w:p>
    <w:p>
      <w:pPr>
        <w:pStyle w:val="Style110"/>
        <w:spacing w:lineRule="auto" w:line="360" w:before="0" w:after="0"/>
        <w:rPr>
          <w:rFonts w:eastAsia="Arial Unicode MS" w:cs="Calibri"/>
          <w:sz w:val="22"/>
          <w:szCs w:val="22"/>
        </w:rPr>
      </w:pPr>
      <w:r>
        <w:rPr>
          <w:rFonts w:eastAsia="Arial Unicode MS" w:cs="Calibri"/>
          <w:sz w:val="22"/>
          <w:szCs w:val="22"/>
        </w:rPr>
      </w:r>
    </w:p>
    <w:p>
      <w:pPr>
        <w:pStyle w:val="Style110"/>
        <w:spacing w:lineRule="auto" w:line="360" w:before="0" w:after="0"/>
        <w:rPr>
          <w:rFonts w:eastAsia="Arial Unicode MS" w:cs="Calibri"/>
          <w:sz w:val="22"/>
          <w:szCs w:val="22"/>
        </w:rPr>
      </w:pPr>
      <w:r>
        <w:rPr>
          <w:rFonts w:eastAsia="Arial Unicode MS" w:cs="Calibri"/>
          <w:sz w:val="22"/>
          <w:szCs w:val="22"/>
        </w:rPr>
        <w:t xml:space="preserve">Διακήρυξη </w:t>
      </w:r>
    </w:p>
    <w:p>
      <w:pPr>
        <w:pStyle w:val="Style110"/>
        <w:spacing w:lineRule="auto" w:line="360" w:before="0" w:after="0"/>
        <w:rPr>
          <w:rFonts w:eastAsia="Arial Unicode MS" w:cs="Calibri"/>
          <w:sz w:val="22"/>
          <w:szCs w:val="22"/>
        </w:rPr>
      </w:pPr>
      <w:r>
        <w:rPr>
          <w:rFonts w:eastAsia="Arial Unicode MS" w:cs="Calibri"/>
          <w:sz w:val="22"/>
          <w:szCs w:val="22"/>
        </w:rPr>
        <w:t>Ανοικτού Ηλεκτρονικού διαγωνισμού άνω των ορίων, για την Παροχή υπηρεσιών καθαριότητας σε κτίρια στα οποία στεγάζονται οι Υπηρεσίες του e-ΕΦΚΑ Θεσσαλίας για χρονικό διάστημα είκοσι τεσσάρων (24) μηνών από την υπογραφή των συμβάσεων και με μονομερές δικαίωμα του Φορέα για παράταση των υπηρεσιών μέχρι δώδεκα (12) επιπλέον μηνών με τους ίδιους όρους.</w:t>
      </w:r>
    </w:p>
    <w:p>
      <w:pPr>
        <w:pStyle w:val="Style110"/>
        <w:spacing w:lineRule="auto" w:line="360" w:before="0" w:after="0"/>
        <w:rPr>
          <w:rFonts w:eastAsia="Arial Unicode MS" w:cs="Calibri"/>
          <w:sz w:val="22"/>
          <w:szCs w:val="22"/>
        </w:rPr>
      </w:pPr>
      <w:r>
        <w:rPr>
          <w:rFonts w:eastAsia="Arial Unicode MS" w:cs="Calibri"/>
          <w:sz w:val="22"/>
          <w:szCs w:val="22"/>
        </w:rPr>
      </w:r>
    </w:p>
    <w:p>
      <w:pPr>
        <w:pStyle w:val="3"/>
        <w:ind w:left="567" w:right="0" w:hanging="567"/>
        <w:rPr/>
      </w:pPr>
      <w:r>
        <w:rPr/>
      </w:r>
      <w:r>
        <w:br w:type="page"/>
      </w:r>
    </w:p>
    <w:p>
      <w:pPr>
        <w:pStyle w:val="3"/>
        <w:ind w:left="567" w:right="0" w:hanging="567"/>
        <w:rPr/>
      </w:pPr>
      <w:bookmarkStart w:id="0" w:name="__RefHeading___Toc35735_1890191151"/>
      <w:bookmarkStart w:id="1" w:name="_Toc20483064"/>
      <w:bookmarkStart w:id="2" w:name="_Toc492539917"/>
      <w:bookmarkStart w:id="3" w:name="_Toc58242637"/>
      <w:bookmarkEnd w:id="0"/>
      <w:r>
        <w:rPr/>
        <w:t>Περιεχόμενα</w:t>
      </w:r>
      <w:bookmarkEnd w:id="1"/>
      <w:bookmarkEnd w:id="2"/>
      <w:bookmarkEnd w:id="3"/>
    </w:p>
    <w:sdt>
      <w:sdtPr>
        <w:docPartObj>
          <w:docPartGallery w:val="Table of Contents"/>
          <w:docPartUnique w:val="true"/>
        </w:docPartObj>
      </w:sdtPr>
      <w:sdtContent>
        <w:p>
          <w:pPr>
            <w:pStyle w:val="34"/>
            <w:tabs>
              <w:tab w:val="clear" w:pos="720"/>
              <w:tab w:val="right" w:pos="9496" w:leader="dot"/>
            </w:tabs>
            <w:rPr/>
          </w:pPr>
          <w:r>
            <w:fldChar w:fldCharType="begin"/>
          </w:r>
          <w:r>
            <w:rPr>
              <w:rStyle w:val="Style16"/>
            </w:rPr>
            <w:instrText> TOC \o "1-3" \h</w:instrText>
          </w:r>
          <w:r>
            <w:rPr>
              <w:rStyle w:val="Style16"/>
            </w:rPr>
            <w:fldChar w:fldCharType="separate"/>
          </w:r>
          <w:hyperlink w:anchor="__RefHeading___Toc35735_1890191151">
            <w:r>
              <w:rPr>
                <w:rStyle w:val="Style16"/>
              </w:rPr>
              <w:t>Περιεχόμενα</w:t>
              <w:tab/>
              <w:t>2</w:t>
            </w:r>
          </w:hyperlink>
        </w:p>
        <w:p>
          <w:pPr>
            <w:pStyle w:val="113"/>
            <w:tabs>
              <w:tab w:val="clear" w:pos="720"/>
              <w:tab w:val="right" w:pos="9496" w:leader="dot"/>
            </w:tabs>
            <w:rPr/>
          </w:pPr>
          <w:hyperlink w:anchor="__RefHeading___Toc35533_1890191151">
            <w:r>
              <w:rPr>
                <w:rStyle w:val="Style16"/>
              </w:rPr>
              <w:t>1. ΑΝΑΘΕΤΟΥΣΑ ΑΡΧΗ ΚΑΙ ΑΝΤΙΚΕΙΜΕΝΟ ΣΥΜΒΑΣΗΣ</w:t>
              <w:tab/>
              <w:t>4</w:t>
            </w:r>
          </w:hyperlink>
        </w:p>
        <w:p>
          <w:pPr>
            <w:pStyle w:val="25"/>
            <w:tabs>
              <w:tab w:val="clear" w:pos="720"/>
              <w:tab w:val="right" w:pos="9496" w:leader="dot"/>
            </w:tabs>
            <w:rPr/>
          </w:pPr>
          <w:hyperlink w:anchor="__RefHeading___Toc35535_1890191151">
            <w:r>
              <w:rPr>
                <w:rStyle w:val="Style16"/>
              </w:rPr>
              <w:t>1.1 Στοιχεία Αναθέτουσας Αρχής</w:t>
              <w:tab/>
              <w:t>4</w:t>
            </w:r>
          </w:hyperlink>
        </w:p>
        <w:p>
          <w:pPr>
            <w:pStyle w:val="25"/>
            <w:tabs>
              <w:tab w:val="clear" w:pos="720"/>
              <w:tab w:val="right" w:pos="9496" w:leader="dot"/>
            </w:tabs>
            <w:rPr/>
          </w:pPr>
          <w:hyperlink w:anchor="__RefHeading___Toc35537_1890191151">
            <w:r>
              <w:rPr>
                <w:rStyle w:val="Style16"/>
              </w:rPr>
              <w:t>1.2 Στοιχεία Διαδικασίας - Χρηματοδότηση</w:t>
              <w:tab/>
              <w:t>5</w:t>
            </w:r>
          </w:hyperlink>
        </w:p>
        <w:p>
          <w:pPr>
            <w:pStyle w:val="25"/>
            <w:tabs>
              <w:tab w:val="clear" w:pos="720"/>
              <w:tab w:val="right" w:pos="9496" w:leader="dot"/>
            </w:tabs>
            <w:rPr/>
          </w:pPr>
          <w:hyperlink w:anchor="__RefHeading___Toc35539_1890191151">
            <w:r>
              <w:rPr>
                <w:rStyle w:val="Style16"/>
              </w:rPr>
              <w:t>1.3 Συνοπτική Περιγραφή φυσικού και οικονομικού αντικειμένου της σύμβασης</w:t>
              <w:tab/>
              <w:t>6</w:t>
            </w:r>
          </w:hyperlink>
        </w:p>
        <w:p>
          <w:pPr>
            <w:pStyle w:val="25"/>
            <w:tabs>
              <w:tab w:val="clear" w:pos="720"/>
              <w:tab w:val="right" w:pos="9496" w:leader="dot"/>
            </w:tabs>
            <w:rPr/>
          </w:pPr>
          <w:hyperlink w:anchor="__RefHeading___Toc35541_1890191151">
            <w:r>
              <w:rPr>
                <w:rStyle w:val="Style16"/>
              </w:rPr>
              <w:t>1.4 Θεσμικό πλαίσιο</w:t>
              <w:tab/>
              <w:t>10</w:t>
            </w:r>
          </w:hyperlink>
        </w:p>
        <w:p>
          <w:pPr>
            <w:pStyle w:val="25"/>
            <w:tabs>
              <w:tab w:val="clear" w:pos="720"/>
              <w:tab w:val="right" w:pos="9496" w:leader="dot"/>
            </w:tabs>
            <w:rPr/>
          </w:pPr>
          <w:hyperlink w:anchor="__RefHeading___Toc35543_1890191151">
            <w:r>
              <w:rPr>
                <w:rStyle w:val="Style16"/>
              </w:rPr>
              <w:t>1.5 Προθεσμία παραλαβής προσφορών και διενέργεια διαγωνισμού</w:t>
              <w:tab/>
              <w:t>17</w:t>
            </w:r>
          </w:hyperlink>
        </w:p>
        <w:p>
          <w:pPr>
            <w:pStyle w:val="25"/>
            <w:tabs>
              <w:tab w:val="clear" w:pos="720"/>
              <w:tab w:val="right" w:pos="9496" w:leader="dot"/>
            </w:tabs>
            <w:rPr/>
          </w:pPr>
          <w:hyperlink w:anchor="__RefHeading___Toc35545_1890191151">
            <w:r>
              <w:rPr>
                <w:rStyle w:val="Style16"/>
              </w:rPr>
              <w:t>1.6 Δημοσιότητα</w:t>
              <w:tab/>
              <w:t>17</w:t>
            </w:r>
          </w:hyperlink>
        </w:p>
        <w:p>
          <w:pPr>
            <w:pStyle w:val="25"/>
            <w:tabs>
              <w:tab w:val="clear" w:pos="720"/>
              <w:tab w:val="right" w:pos="9496" w:leader="dot"/>
            </w:tabs>
            <w:rPr/>
          </w:pPr>
          <w:hyperlink w:anchor="__RefHeading___Toc35547_1890191151">
            <w:r>
              <w:rPr>
                <w:rStyle w:val="Style16"/>
              </w:rPr>
              <w:t>1.7 Αρχές εφαρμοζόμενες στη διαδικασία σύναψης</w:t>
              <w:tab/>
              <w:t>19</w:t>
            </w:r>
          </w:hyperlink>
        </w:p>
        <w:p>
          <w:pPr>
            <w:pStyle w:val="113"/>
            <w:tabs>
              <w:tab w:val="clear" w:pos="720"/>
              <w:tab w:val="right" w:pos="9496" w:leader="dot"/>
            </w:tabs>
            <w:rPr/>
          </w:pPr>
          <w:hyperlink w:anchor="__RefHeading___Toc35549_1890191151">
            <w:r>
              <w:rPr>
                <w:rStyle w:val="Style16"/>
              </w:rPr>
              <w:t>2. ΓΕΝΙΚΟΙ ΚΑΙ ΕΙΔΙΚΟΙ ΟΡΟΙ ΣΥΜΜΕΤΟΧΗΣ</w:t>
              <w:tab/>
              <w:t>20</w:t>
            </w:r>
          </w:hyperlink>
        </w:p>
        <w:p>
          <w:pPr>
            <w:pStyle w:val="25"/>
            <w:tabs>
              <w:tab w:val="clear" w:pos="720"/>
              <w:tab w:val="right" w:pos="9496" w:leader="dot"/>
            </w:tabs>
            <w:rPr/>
          </w:pPr>
          <w:hyperlink w:anchor="__RefHeading___Toc35551_1890191151">
            <w:r>
              <w:rPr>
                <w:rStyle w:val="Style16"/>
              </w:rPr>
              <w:t>2.1 Γενικές Πληροφορίες</w:t>
              <w:tab/>
              <w:t>20</w:t>
            </w:r>
          </w:hyperlink>
        </w:p>
        <w:p>
          <w:pPr>
            <w:pStyle w:val="34"/>
            <w:tabs>
              <w:tab w:val="clear" w:pos="720"/>
              <w:tab w:val="right" w:pos="9496" w:leader="dot"/>
            </w:tabs>
            <w:rPr/>
          </w:pPr>
          <w:hyperlink w:anchor="__RefHeading___Toc35553_1890191151">
            <w:r>
              <w:rPr>
                <w:rStyle w:val="Style16"/>
              </w:rPr>
              <w:t>2.1.1 Έγγραφα της σύμβασης</w:t>
              <w:tab/>
              <w:t>20</w:t>
            </w:r>
          </w:hyperlink>
        </w:p>
        <w:p>
          <w:pPr>
            <w:pStyle w:val="34"/>
            <w:tabs>
              <w:tab w:val="clear" w:pos="720"/>
              <w:tab w:val="right" w:pos="9496" w:leader="dot"/>
            </w:tabs>
            <w:rPr/>
          </w:pPr>
          <w:hyperlink w:anchor="__RefHeading___Toc35555_1890191151">
            <w:r>
              <w:rPr>
                <w:rStyle w:val="Style16"/>
              </w:rPr>
              <w:t>2.1.2 Επικοινωνία - Πρόσβαση στα έγγραφα της Σύμβασης</w:t>
              <w:tab/>
              <w:t>20</w:t>
            </w:r>
          </w:hyperlink>
        </w:p>
        <w:p>
          <w:pPr>
            <w:pStyle w:val="34"/>
            <w:tabs>
              <w:tab w:val="clear" w:pos="720"/>
              <w:tab w:val="right" w:pos="9496" w:leader="dot"/>
            </w:tabs>
            <w:rPr/>
          </w:pPr>
          <w:hyperlink w:anchor="__RefHeading___Toc35557_1890191151">
            <w:r>
              <w:rPr>
                <w:rStyle w:val="Style16"/>
              </w:rPr>
              <w:t>2.1.3 Παροχή Διευκρινίσεων</w:t>
              <w:tab/>
              <w:t>20</w:t>
            </w:r>
          </w:hyperlink>
        </w:p>
        <w:p>
          <w:pPr>
            <w:pStyle w:val="34"/>
            <w:tabs>
              <w:tab w:val="clear" w:pos="720"/>
              <w:tab w:val="right" w:pos="9496" w:leader="dot"/>
            </w:tabs>
            <w:rPr/>
          </w:pPr>
          <w:hyperlink w:anchor="__RefHeading___Toc35559_1890191151">
            <w:r>
              <w:rPr>
                <w:rStyle w:val="Style16"/>
              </w:rPr>
              <w:t>2.1.4 Γλώσσα</w:t>
              <w:tab/>
              <w:t>21</w:t>
            </w:r>
          </w:hyperlink>
        </w:p>
        <w:p>
          <w:pPr>
            <w:pStyle w:val="34"/>
            <w:tabs>
              <w:tab w:val="clear" w:pos="720"/>
              <w:tab w:val="right" w:pos="9496" w:leader="dot"/>
            </w:tabs>
            <w:rPr/>
          </w:pPr>
          <w:hyperlink w:anchor="__RefHeading___Toc35561_1890191151">
            <w:r>
              <w:rPr>
                <w:rStyle w:val="Style16"/>
              </w:rPr>
              <w:t>2.1.5 Εγγυήσεις</w:t>
              <w:tab/>
              <w:t>21</w:t>
            </w:r>
          </w:hyperlink>
        </w:p>
        <w:p>
          <w:pPr>
            <w:pStyle w:val="34"/>
            <w:tabs>
              <w:tab w:val="clear" w:pos="720"/>
              <w:tab w:val="right" w:pos="9496" w:leader="dot"/>
            </w:tabs>
            <w:rPr/>
          </w:pPr>
          <w:hyperlink w:anchor="__RefHeading___Toc35563_1890191151">
            <w:r>
              <w:rPr>
                <w:rStyle w:val="Style16"/>
              </w:rPr>
              <w:t>2.1.6 Προστασία Προσωπικών Δεδομένων</w:t>
              <w:tab/>
              <w:t>22</w:t>
            </w:r>
          </w:hyperlink>
        </w:p>
        <w:p>
          <w:pPr>
            <w:pStyle w:val="25"/>
            <w:tabs>
              <w:tab w:val="clear" w:pos="720"/>
              <w:tab w:val="right" w:pos="9496" w:leader="dot"/>
            </w:tabs>
            <w:rPr/>
          </w:pPr>
          <w:hyperlink w:anchor="__RefHeading___Toc35565_1890191151">
            <w:r>
              <w:rPr>
                <w:rStyle w:val="Style16"/>
              </w:rPr>
              <w:t>2.2 Δικαίωμα Συμμετοχής - Κριτήρια Ποιοτικής Επιλογής</w:t>
              <w:tab/>
              <w:t>22</w:t>
            </w:r>
          </w:hyperlink>
        </w:p>
        <w:p>
          <w:pPr>
            <w:pStyle w:val="34"/>
            <w:tabs>
              <w:tab w:val="clear" w:pos="720"/>
              <w:tab w:val="right" w:pos="9496" w:leader="dot"/>
            </w:tabs>
            <w:rPr/>
          </w:pPr>
          <w:hyperlink w:anchor="__RefHeading___Toc35567_1890191151">
            <w:r>
              <w:rPr>
                <w:rStyle w:val="Style16"/>
              </w:rPr>
              <w:t>2.2.1 Δικαίωμα συμμετοχής</w:t>
              <w:tab/>
              <w:t>22</w:t>
            </w:r>
          </w:hyperlink>
        </w:p>
        <w:p>
          <w:pPr>
            <w:pStyle w:val="34"/>
            <w:tabs>
              <w:tab w:val="clear" w:pos="720"/>
              <w:tab w:val="right" w:pos="9496" w:leader="dot"/>
            </w:tabs>
            <w:rPr/>
          </w:pPr>
          <w:hyperlink w:anchor="__RefHeading___Toc35569_1890191151">
            <w:r>
              <w:rPr>
                <w:rStyle w:val="Style16"/>
              </w:rPr>
              <w:t>2.2.2 Εγγύηση συμμετοχής</w:t>
              <w:tab/>
              <w:t>23</w:t>
            </w:r>
          </w:hyperlink>
        </w:p>
        <w:p>
          <w:pPr>
            <w:pStyle w:val="34"/>
            <w:tabs>
              <w:tab w:val="clear" w:pos="720"/>
              <w:tab w:val="right" w:pos="9496" w:leader="dot"/>
            </w:tabs>
            <w:rPr/>
          </w:pPr>
          <w:hyperlink w:anchor="__RefHeading___Toc35571_1890191151">
            <w:r>
              <w:rPr>
                <w:rStyle w:val="Style16"/>
              </w:rPr>
              <w:t>2.2.3 Λόγοι αποκλεισμού</w:t>
              <w:tab/>
              <w:t>25</w:t>
            </w:r>
          </w:hyperlink>
        </w:p>
        <w:p>
          <w:pPr>
            <w:pStyle w:val="34"/>
            <w:tabs>
              <w:tab w:val="clear" w:pos="720"/>
              <w:tab w:val="right" w:pos="9496" w:leader="dot"/>
            </w:tabs>
            <w:rPr/>
          </w:pPr>
          <w:hyperlink w:anchor="__RefHeading___Toc35573_1890191151">
            <w:r>
              <w:rPr>
                <w:rStyle w:val="Style16"/>
              </w:rPr>
              <w:t>2.2.5 Οικονομική και χρηματοοικονομική επάρκεια</w:t>
              <w:tab/>
              <w:t>32</w:t>
            </w:r>
          </w:hyperlink>
        </w:p>
        <w:p>
          <w:pPr>
            <w:pStyle w:val="34"/>
            <w:tabs>
              <w:tab w:val="clear" w:pos="720"/>
              <w:tab w:val="right" w:pos="9496" w:leader="dot"/>
            </w:tabs>
            <w:rPr/>
          </w:pPr>
          <w:hyperlink w:anchor="__RefHeading___Toc35575_1890191151">
            <w:r>
              <w:rPr>
                <w:rStyle w:val="Style16"/>
              </w:rPr>
              <w:t>2.2.6 Τεχνική και επαγγελματική ικανότητα</w:t>
              <w:tab/>
              <w:t>32</w:t>
            </w:r>
          </w:hyperlink>
        </w:p>
        <w:p>
          <w:pPr>
            <w:pStyle w:val="34"/>
            <w:tabs>
              <w:tab w:val="clear" w:pos="720"/>
              <w:tab w:val="right" w:pos="9496" w:leader="dot"/>
            </w:tabs>
            <w:rPr/>
          </w:pPr>
          <w:hyperlink w:anchor="__RefHeading___Toc35577_1890191151">
            <w:r>
              <w:rPr>
                <w:rStyle w:val="Style16"/>
              </w:rPr>
              <w:t>1.2.7 Πρότυπα διασφάλισης ποιότητας και πρότυπα περιβαλλοντικής διαχείρισης</w:t>
              <w:tab/>
              <w:t>32</w:t>
            </w:r>
          </w:hyperlink>
        </w:p>
        <w:p>
          <w:pPr>
            <w:pStyle w:val="34"/>
            <w:tabs>
              <w:tab w:val="clear" w:pos="720"/>
              <w:tab w:val="right" w:pos="9496" w:leader="dot"/>
            </w:tabs>
            <w:rPr/>
          </w:pPr>
          <w:hyperlink w:anchor="__RefHeading___Toc35579_1890191151">
            <w:r>
              <w:rPr>
                <w:rStyle w:val="Style16"/>
              </w:rPr>
              <w:t>2.2.8 Στήριξη στην ικανότητα τρίτων/ Υπεργολαβία</w:t>
              <w:tab/>
              <w:t>33</w:t>
            </w:r>
          </w:hyperlink>
        </w:p>
        <w:p>
          <w:pPr>
            <w:pStyle w:val="34"/>
            <w:tabs>
              <w:tab w:val="clear" w:pos="720"/>
              <w:tab w:val="right" w:pos="9496" w:leader="dot"/>
            </w:tabs>
            <w:rPr/>
          </w:pPr>
          <w:hyperlink w:anchor="__RefHeading___Toc35581_1890191151">
            <w:r>
              <w:rPr>
                <w:rStyle w:val="Style16"/>
              </w:rPr>
              <w:t>2.2.9 Κανόνες απόδειξης ποιοτικής επιλογής</w:t>
              <w:tab/>
              <w:t>34</w:t>
            </w:r>
          </w:hyperlink>
        </w:p>
        <w:p>
          <w:pPr>
            <w:pStyle w:val="25"/>
            <w:tabs>
              <w:tab w:val="clear" w:pos="720"/>
              <w:tab w:val="right" w:pos="9496" w:leader="dot"/>
            </w:tabs>
            <w:rPr/>
          </w:pPr>
          <w:hyperlink w:anchor="__RefHeading___Toc35583_1890191151">
            <w:r>
              <w:rPr>
                <w:rStyle w:val="Style16"/>
              </w:rPr>
              <w:t>2.3 Κριτήρια Ανάθεσης</w:t>
              <w:tab/>
              <w:t>44</w:t>
            </w:r>
          </w:hyperlink>
        </w:p>
        <w:p>
          <w:pPr>
            <w:pStyle w:val="25"/>
            <w:tabs>
              <w:tab w:val="clear" w:pos="720"/>
              <w:tab w:val="right" w:pos="9496" w:leader="dot"/>
            </w:tabs>
            <w:rPr/>
          </w:pPr>
          <w:hyperlink w:anchor="__RefHeading___Toc35587_1890191151">
            <w:r>
              <w:rPr>
                <w:rStyle w:val="Style16"/>
              </w:rPr>
              <w:t>2.4 Κατάρτιση - Περιεχόμενο Προσφορών</w:t>
              <w:tab/>
              <w:t>44</w:t>
            </w:r>
          </w:hyperlink>
        </w:p>
        <w:p>
          <w:pPr>
            <w:pStyle w:val="34"/>
            <w:tabs>
              <w:tab w:val="clear" w:pos="720"/>
              <w:tab w:val="right" w:pos="9496" w:leader="dot"/>
            </w:tabs>
            <w:rPr/>
          </w:pPr>
          <w:hyperlink w:anchor="__RefHeading___Toc35589_1890191151">
            <w:r>
              <w:rPr>
                <w:rStyle w:val="Style16"/>
              </w:rPr>
              <w:t>2.4.1 Γενικοί όροι υποβολής προσφορών</w:t>
              <w:tab/>
              <w:t>44</w:t>
            </w:r>
          </w:hyperlink>
        </w:p>
        <w:p>
          <w:pPr>
            <w:pStyle w:val="34"/>
            <w:tabs>
              <w:tab w:val="clear" w:pos="720"/>
              <w:tab w:val="right" w:pos="9496" w:leader="dot"/>
            </w:tabs>
            <w:rPr/>
          </w:pPr>
          <w:hyperlink w:anchor="__RefHeading___Toc35591_1890191151">
            <w:r>
              <w:rPr>
                <w:rStyle w:val="Style16"/>
              </w:rPr>
              <w:t>2.4.2 Χρόνος και Τρόπος υποβολής προσφορών</w:t>
              <w:tab/>
              <w:t>45</w:t>
            </w:r>
          </w:hyperlink>
        </w:p>
        <w:p>
          <w:pPr>
            <w:pStyle w:val="34"/>
            <w:tabs>
              <w:tab w:val="clear" w:pos="720"/>
              <w:tab w:val="right" w:pos="9496" w:leader="dot"/>
            </w:tabs>
            <w:rPr/>
          </w:pPr>
          <w:hyperlink w:anchor="__RefHeading___Toc35593_1890191151">
            <w:r>
              <w:rPr>
                <w:rStyle w:val="Style16"/>
              </w:rPr>
              <w:t>2.4.4. Περιεχόμενα Φακέλου «Οικονομική Προσφορά»/Τρόπος σύνταξης και υποβολής οικονομικών προσφορών.</w:t>
              <w:tab/>
              <w:t>50</w:t>
            </w:r>
          </w:hyperlink>
        </w:p>
        <w:p>
          <w:pPr>
            <w:pStyle w:val="34"/>
            <w:tabs>
              <w:tab w:val="clear" w:pos="720"/>
              <w:tab w:val="right" w:pos="9496" w:leader="dot"/>
            </w:tabs>
            <w:rPr/>
          </w:pPr>
          <w:hyperlink w:anchor="__RefHeading___Toc35607_1890191151">
            <w:r>
              <w:rPr>
                <w:rStyle w:val="Style16"/>
              </w:rPr>
              <w:t>2.4.5 Χρόνος ισχύος των προσφορών</w:t>
              <w:tab/>
              <w:t>52</w:t>
            </w:r>
          </w:hyperlink>
        </w:p>
        <w:p>
          <w:pPr>
            <w:pStyle w:val="34"/>
            <w:tabs>
              <w:tab w:val="clear" w:pos="720"/>
              <w:tab w:val="right" w:pos="9496" w:leader="dot"/>
            </w:tabs>
            <w:rPr/>
          </w:pPr>
          <w:hyperlink w:anchor="__RefHeading___Toc35609_1890191151">
            <w:r>
              <w:rPr>
                <w:rStyle w:val="Style16"/>
              </w:rPr>
              <w:t>2.4.6 Λόγοι απόρριψης προσφορών</w:t>
              <w:tab/>
              <w:t>53</w:t>
            </w:r>
          </w:hyperlink>
        </w:p>
        <w:p>
          <w:pPr>
            <w:pStyle w:val="113"/>
            <w:tabs>
              <w:tab w:val="clear" w:pos="720"/>
              <w:tab w:val="right" w:pos="9496" w:leader="dot"/>
            </w:tabs>
            <w:rPr/>
          </w:pPr>
          <w:hyperlink w:anchor="__RefHeading___Toc35611_1890191151">
            <w:r>
              <w:rPr>
                <w:rStyle w:val="Style16"/>
              </w:rPr>
              <w:t>3. ΔΙΕΝΕΡΓΕΙΑ ΔΙΑΔΙΚΑΣΙΑΣ - ΑΞΙΟΛΟΓΗΣΗ ΠΡΟΣΦΟΡΩΝ</w:t>
              <w:tab/>
              <w:t>55</w:t>
            </w:r>
          </w:hyperlink>
        </w:p>
        <w:p>
          <w:pPr>
            <w:pStyle w:val="25"/>
            <w:tabs>
              <w:tab w:val="clear" w:pos="720"/>
              <w:tab w:val="right" w:pos="9496" w:leader="dot"/>
            </w:tabs>
            <w:rPr/>
          </w:pPr>
          <w:hyperlink w:anchor="__RefHeading___Toc35613_1890191151">
            <w:r>
              <w:rPr>
                <w:rStyle w:val="Style16"/>
              </w:rPr>
              <w:t>3.1 Αποσφράγιση και αξιολόγηση προσφορών</w:t>
              <w:tab/>
              <w:t>55</w:t>
            </w:r>
          </w:hyperlink>
        </w:p>
        <w:p>
          <w:pPr>
            <w:pStyle w:val="34"/>
            <w:tabs>
              <w:tab w:val="clear" w:pos="720"/>
              <w:tab w:val="right" w:pos="9496" w:leader="dot"/>
            </w:tabs>
            <w:rPr/>
          </w:pPr>
          <w:hyperlink w:anchor="__RefHeading___Toc35615_1890191151">
            <w:r>
              <w:rPr>
                <w:rStyle w:val="Style16"/>
              </w:rPr>
              <w:t>3.1.1 Ηλεκτρονική αποσφράγιση προσφορών</w:t>
              <w:tab/>
              <w:t>55</w:t>
            </w:r>
          </w:hyperlink>
        </w:p>
        <w:p>
          <w:pPr>
            <w:pStyle w:val="34"/>
            <w:tabs>
              <w:tab w:val="clear" w:pos="720"/>
              <w:tab w:val="right" w:pos="9496" w:leader="dot"/>
            </w:tabs>
            <w:rPr/>
          </w:pPr>
          <w:hyperlink w:anchor="__RefHeading___Toc35617_1890191151">
            <w:r>
              <w:rPr>
                <w:rStyle w:val="Style16"/>
              </w:rPr>
              <w:t>3.1.2 Αξιολόγηση προσφορών</w:t>
              <w:tab/>
              <w:t>55</w:t>
            </w:r>
          </w:hyperlink>
        </w:p>
        <w:p>
          <w:pPr>
            <w:pStyle w:val="25"/>
            <w:tabs>
              <w:tab w:val="clear" w:pos="720"/>
              <w:tab w:val="right" w:pos="9496" w:leader="dot"/>
            </w:tabs>
            <w:rPr/>
          </w:pPr>
          <w:hyperlink w:anchor="__RefHeading___Toc35619_1890191151">
            <w:r>
              <w:rPr>
                <w:rStyle w:val="Style16"/>
              </w:rPr>
              <w:t>3.2 Πρόσκληση υποβολής δικαιολογητικών προσωρινού αναδόχου - Δικαιολογητικά προσωρινού αναδόχου</w:t>
              <w:tab/>
              <w:t>57</w:t>
            </w:r>
          </w:hyperlink>
        </w:p>
        <w:p>
          <w:pPr>
            <w:pStyle w:val="25"/>
            <w:tabs>
              <w:tab w:val="clear" w:pos="720"/>
              <w:tab w:val="right" w:pos="9496" w:leader="dot"/>
            </w:tabs>
            <w:rPr/>
          </w:pPr>
          <w:hyperlink w:anchor="__RefHeading___Toc35621_1890191151">
            <w:r>
              <w:rPr>
                <w:rStyle w:val="Style16"/>
              </w:rPr>
              <w:t>3.3 Κατακύρωση - σύναψη σύμβασης</w:t>
              <w:tab/>
              <w:t>59</w:t>
            </w:r>
          </w:hyperlink>
        </w:p>
        <w:p>
          <w:pPr>
            <w:pStyle w:val="25"/>
            <w:tabs>
              <w:tab w:val="clear" w:pos="720"/>
              <w:tab w:val="right" w:pos="9496" w:leader="dot"/>
            </w:tabs>
            <w:rPr/>
          </w:pPr>
          <w:hyperlink w:anchor="__RefHeading___Toc35623_1890191151">
            <w:r>
              <w:rPr>
                <w:rStyle w:val="Style16"/>
              </w:rPr>
              <w:t>3.4 Προδικαστικές Προσφυγές - Προσωρινή και Οριστική Δικαστική Προστασία</w:t>
              <w:tab/>
              <w:t>60</w:t>
            </w:r>
          </w:hyperlink>
        </w:p>
        <w:p>
          <w:pPr>
            <w:pStyle w:val="25"/>
            <w:tabs>
              <w:tab w:val="clear" w:pos="720"/>
              <w:tab w:val="right" w:pos="9496" w:leader="dot"/>
            </w:tabs>
            <w:rPr/>
          </w:pPr>
          <w:hyperlink w:anchor="__RefHeading___Toc35625_1890191151">
            <w:r>
              <w:rPr>
                <w:rStyle w:val="Style16"/>
              </w:rPr>
              <w:t>3.5 Ματαίωση Διαδικασίας</w:t>
              <w:tab/>
              <w:t>64</w:t>
            </w:r>
          </w:hyperlink>
        </w:p>
        <w:p>
          <w:pPr>
            <w:pStyle w:val="113"/>
            <w:tabs>
              <w:tab w:val="clear" w:pos="720"/>
              <w:tab w:val="right" w:pos="9496" w:leader="dot"/>
            </w:tabs>
            <w:rPr/>
          </w:pPr>
          <w:hyperlink w:anchor="__RefHeading___Toc35627_1890191151">
            <w:r>
              <w:rPr>
                <w:rStyle w:val="Style16"/>
              </w:rPr>
              <w:t>4. ΟΡΟΙ ΕΚΤΕΛΕΣΗΣ ΤΗΣ ΣΥΜΒΑΣΗΣ</w:t>
              <w:tab/>
              <w:t>65</w:t>
            </w:r>
          </w:hyperlink>
        </w:p>
        <w:p>
          <w:pPr>
            <w:pStyle w:val="25"/>
            <w:tabs>
              <w:tab w:val="clear" w:pos="720"/>
              <w:tab w:val="right" w:pos="9496" w:leader="dot"/>
            </w:tabs>
            <w:rPr/>
          </w:pPr>
          <w:hyperlink w:anchor="__RefHeading___Toc35629_1890191151">
            <w:r>
              <w:rPr>
                <w:rStyle w:val="Style16"/>
              </w:rPr>
              <w:t>4.1 Εγγυήσεις (καλής εκτέλεσης, προκαταβολής)</w:t>
              <w:tab/>
              <w:t>65</w:t>
            </w:r>
          </w:hyperlink>
        </w:p>
        <w:p>
          <w:pPr>
            <w:pStyle w:val="25"/>
            <w:tabs>
              <w:tab w:val="clear" w:pos="720"/>
              <w:tab w:val="right" w:pos="9496" w:leader="dot"/>
            </w:tabs>
            <w:rPr/>
          </w:pPr>
          <w:hyperlink w:anchor="__RefHeading___Toc35631_1890191151">
            <w:r>
              <w:rPr>
                <w:rStyle w:val="Style16"/>
              </w:rPr>
              <w:t>4.2 Συμβατικό Πλαίσιο – Εφαρμοστέα Νομοθεσία</w:t>
              <w:tab/>
              <w:t>65</w:t>
            </w:r>
          </w:hyperlink>
        </w:p>
        <w:p>
          <w:pPr>
            <w:pStyle w:val="25"/>
            <w:tabs>
              <w:tab w:val="clear" w:pos="720"/>
              <w:tab w:val="right" w:pos="9496" w:leader="dot"/>
            </w:tabs>
            <w:rPr/>
          </w:pPr>
          <w:hyperlink w:anchor="__RefHeading___Toc35633_1890191151">
            <w:r>
              <w:rPr>
                <w:rStyle w:val="Style16"/>
              </w:rPr>
              <w:t>4.3 Όροι εκτέλεσης της σύμβασης</w:t>
              <w:tab/>
              <w:t>65</w:t>
            </w:r>
          </w:hyperlink>
        </w:p>
        <w:p>
          <w:pPr>
            <w:pStyle w:val="25"/>
            <w:tabs>
              <w:tab w:val="clear" w:pos="720"/>
              <w:tab w:val="right" w:pos="9496" w:leader="dot"/>
            </w:tabs>
            <w:rPr/>
          </w:pPr>
          <w:hyperlink w:anchor="__RefHeading___Toc35635_1890191151">
            <w:r>
              <w:rPr>
                <w:rStyle w:val="Style16"/>
              </w:rPr>
              <w:t>4.4 Υπεργολαβία</w:t>
              <w:tab/>
              <w:t>66</w:t>
            </w:r>
          </w:hyperlink>
        </w:p>
        <w:p>
          <w:pPr>
            <w:pStyle w:val="25"/>
            <w:tabs>
              <w:tab w:val="clear" w:pos="720"/>
              <w:tab w:val="right" w:pos="9496" w:leader="dot"/>
            </w:tabs>
            <w:rPr/>
          </w:pPr>
          <w:hyperlink w:anchor="__RefHeading___Toc35637_1890191151">
            <w:r>
              <w:rPr>
                <w:rStyle w:val="Style16"/>
              </w:rPr>
              <w:t>4.5 Τροποποίηση σύμβασης κατά τη διάρκειά της</w:t>
              <w:tab/>
              <w:t>67</w:t>
            </w:r>
          </w:hyperlink>
        </w:p>
        <w:p>
          <w:pPr>
            <w:pStyle w:val="25"/>
            <w:tabs>
              <w:tab w:val="clear" w:pos="720"/>
              <w:tab w:val="right" w:pos="9496" w:leader="dot"/>
            </w:tabs>
            <w:rPr/>
          </w:pPr>
          <w:hyperlink w:anchor="__RefHeading___Toc35639_1890191151">
            <w:r>
              <w:rPr>
                <w:rStyle w:val="Style16"/>
              </w:rPr>
              <w:t>4.6 Δικαίωμα μονομερούς λύσης της σύμβασης</w:t>
              <w:tab/>
              <w:t>67</w:t>
            </w:r>
          </w:hyperlink>
        </w:p>
        <w:p>
          <w:pPr>
            <w:pStyle w:val="113"/>
            <w:tabs>
              <w:tab w:val="clear" w:pos="720"/>
              <w:tab w:val="right" w:pos="9496" w:leader="dot"/>
            </w:tabs>
            <w:rPr/>
          </w:pPr>
          <w:hyperlink w:anchor="__RefHeading___Toc35641_1890191151">
            <w:r>
              <w:rPr>
                <w:rStyle w:val="Style16"/>
              </w:rPr>
              <w:t>5. ΕΙΔΙΚΟΙ ΟΡΟΙ ΕΚΤΕΛΕΣΗΣ ΤΗΣ ΣΥΜΒΑΣΗΣ</w:t>
              <w:tab/>
              <w:t>69</w:t>
            </w:r>
          </w:hyperlink>
        </w:p>
        <w:p>
          <w:pPr>
            <w:pStyle w:val="25"/>
            <w:tabs>
              <w:tab w:val="clear" w:pos="720"/>
              <w:tab w:val="right" w:pos="9496" w:leader="dot"/>
            </w:tabs>
            <w:rPr/>
          </w:pPr>
          <w:hyperlink w:anchor="__RefHeading___Toc35643_1890191151">
            <w:r>
              <w:rPr>
                <w:rStyle w:val="Style16"/>
              </w:rPr>
              <w:t>5.1 Τρόπος πληρωμής</w:t>
              <w:tab/>
              <w:t>69</w:t>
            </w:r>
          </w:hyperlink>
        </w:p>
        <w:p>
          <w:pPr>
            <w:pStyle w:val="25"/>
            <w:tabs>
              <w:tab w:val="clear" w:pos="720"/>
              <w:tab w:val="right" w:pos="9496" w:leader="dot"/>
            </w:tabs>
            <w:rPr/>
          </w:pPr>
          <w:hyperlink w:anchor="__RefHeading___Toc35645_1890191151">
            <w:r>
              <w:rPr>
                <w:rStyle w:val="Style16"/>
              </w:rPr>
              <w:t>5.2 Κήρυξη οικονομικού φορέα εκπτώτου - Κυρώσεις</w:t>
              <w:tab/>
              <w:t>70</w:t>
            </w:r>
          </w:hyperlink>
        </w:p>
        <w:p>
          <w:pPr>
            <w:pStyle w:val="25"/>
            <w:tabs>
              <w:tab w:val="clear" w:pos="720"/>
              <w:tab w:val="right" w:pos="9496" w:leader="dot"/>
            </w:tabs>
            <w:rPr/>
          </w:pPr>
          <w:hyperlink w:anchor="__RefHeading___Toc35647_1890191151">
            <w:r>
              <w:rPr>
                <w:rStyle w:val="Style16"/>
              </w:rPr>
              <w:t>5.3 Διοικητικές προσφυγές κατά τη διαδικασία εκτέλεσης της Σύμβασης</w:t>
              <w:tab/>
              <w:t>71</w:t>
            </w:r>
          </w:hyperlink>
        </w:p>
        <w:p>
          <w:pPr>
            <w:pStyle w:val="25"/>
            <w:tabs>
              <w:tab w:val="clear" w:pos="720"/>
              <w:tab w:val="right" w:pos="9496" w:leader="dot"/>
            </w:tabs>
            <w:rPr/>
          </w:pPr>
          <w:hyperlink w:anchor="__RefHeading___Toc35649_1890191151">
            <w:r>
              <w:rPr>
                <w:rStyle w:val="Style16"/>
              </w:rPr>
              <w:t>5.4 Δικαστική επίλυση διαφορών</w:t>
              <w:tab/>
              <w:t>72</w:t>
            </w:r>
          </w:hyperlink>
        </w:p>
        <w:p>
          <w:pPr>
            <w:pStyle w:val="113"/>
            <w:tabs>
              <w:tab w:val="clear" w:pos="720"/>
              <w:tab w:val="right" w:pos="9496" w:leader="dot"/>
            </w:tabs>
            <w:rPr/>
          </w:pPr>
          <w:hyperlink w:anchor="__RefHeading___Toc35651_1890191151">
            <w:r>
              <w:rPr>
                <w:rStyle w:val="Style16"/>
              </w:rPr>
              <w:t>6. ΕΙΔΙΚΟΙ ΟΡΟΙ ΕΚΤΕΛΕΣΗΣ -ΧΡΟΝΟΣ ΚΑΙ ΤΟΠΟΣ ΕΚΤΕΛΕΣΗΣ</w:t>
              <w:tab/>
              <w:t>73</w:t>
            </w:r>
          </w:hyperlink>
        </w:p>
        <w:p>
          <w:pPr>
            <w:pStyle w:val="25"/>
            <w:tabs>
              <w:tab w:val="clear" w:pos="720"/>
              <w:tab w:val="right" w:pos="9496" w:leader="dot"/>
            </w:tabs>
            <w:rPr/>
          </w:pPr>
          <w:hyperlink w:anchor="__RefHeading___Toc35653_1890191151">
            <w:r>
              <w:rPr>
                <w:rStyle w:val="Style16"/>
              </w:rPr>
              <w:t>6.1 Παρακολούθηση της σύμβασης</w:t>
              <w:tab/>
              <w:t>73</w:t>
            </w:r>
          </w:hyperlink>
        </w:p>
        <w:p>
          <w:pPr>
            <w:pStyle w:val="25"/>
            <w:tabs>
              <w:tab w:val="clear" w:pos="720"/>
              <w:tab w:val="right" w:pos="9496" w:leader="dot"/>
            </w:tabs>
            <w:rPr/>
          </w:pPr>
          <w:hyperlink w:anchor="__RefHeading___Toc35655_1890191151">
            <w:r>
              <w:rPr>
                <w:rStyle w:val="Style16"/>
              </w:rPr>
              <w:t>6.2 Διάρκεια σύμβασης</w:t>
              <w:tab/>
              <w:t>73</w:t>
            </w:r>
          </w:hyperlink>
        </w:p>
        <w:p>
          <w:pPr>
            <w:pStyle w:val="25"/>
            <w:tabs>
              <w:tab w:val="clear" w:pos="720"/>
              <w:tab w:val="right" w:pos="9496" w:leader="dot"/>
            </w:tabs>
            <w:rPr/>
          </w:pPr>
          <w:hyperlink w:anchor="__RefHeading___Toc35657_1890191151">
            <w:r>
              <w:rPr>
                <w:rStyle w:val="Style16"/>
              </w:rPr>
              <w:t>6.3 Παραλαβή του αντικειμένου της σύμβασης</w:t>
              <w:tab/>
              <w:t>73</w:t>
            </w:r>
          </w:hyperlink>
        </w:p>
        <w:p>
          <w:pPr>
            <w:pStyle w:val="25"/>
            <w:tabs>
              <w:tab w:val="clear" w:pos="720"/>
              <w:tab w:val="right" w:pos="9496" w:leader="dot"/>
            </w:tabs>
            <w:rPr/>
          </w:pPr>
          <w:hyperlink w:anchor="__RefHeading___Toc35659_1890191151">
            <w:r>
              <w:rPr>
                <w:rStyle w:val="Style16"/>
              </w:rPr>
              <w:t>6.4 Απόρριψη παραδοτέων - Αντικατάσταση</w:t>
              <w:tab/>
              <w:t>74</w:t>
            </w:r>
          </w:hyperlink>
        </w:p>
        <w:p>
          <w:pPr>
            <w:pStyle w:val="25"/>
            <w:tabs>
              <w:tab w:val="clear" w:pos="720"/>
              <w:tab w:val="right" w:pos="9496" w:leader="dot"/>
            </w:tabs>
            <w:rPr/>
          </w:pPr>
          <w:hyperlink w:anchor="__RefHeading___Toc35661_1890191151">
            <w:r>
              <w:rPr>
                <w:rStyle w:val="Style16"/>
              </w:rPr>
              <w:t>6.5 Αναπροσαρμογή τιμής</w:t>
              <w:tab/>
              <w:t>74</w:t>
            </w:r>
          </w:hyperlink>
        </w:p>
        <w:p>
          <w:pPr>
            <w:pStyle w:val="25"/>
            <w:tabs>
              <w:tab w:val="clear" w:pos="720"/>
              <w:tab w:val="right" w:pos="9496" w:leader="dot"/>
            </w:tabs>
            <w:rPr/>
          </w:pPr>
          <w:hyperlink w:anchor="__RefHeading___Toc35663_1890191151">
            <w:r>
              <w:rPr>
                <w:rStyle w:val="Style16"/>
              </w:rPr>
              <w:t>6.6 Καταγγελία της σύμβασης – Υποκατάσταση αναδόχου</w:t>
              <w:tab/>
              <w:t>75</w:t>
            </w:r>
          </w:hyperlink>
        </w:p>
        <w:p>
          <w:pPr>
            <w:pStyle w:val="25"/>
            <w:tabs>
              <w:tab w:val="clear" w:pos="720"/>
              <w:tab w:val="right" w:pos="9496" w:leader="dot"/>
            </w:tabs>
            <w:rPr/>
          </w:pPr>
          <w:hyperlink w:anchor="__RefHeading___Toc35665_1890191151">
            <w:r>
              <w:rPr>
                <w:rStyle w:val="Style16"/>
              </w:rPr>
              <w:t>6.7 Λοιποί όροι</w:t>
              <w:tab/>
              <w:t>75</w:t>
            </w:r>
          </w:hyperlink>
        </w:p>
        <w:p>
          <w:pPr>
            <w:pStyle w:val="113"/>
            <w:tabs>
              <w:tab w:val="clear" w:pos="720"/>
              <w:tab w:val="right" w:pos="9496" w:leader="dot"/>
            </w:tabs>
            <w:rPr/>
          </w:pPr>
          <w:hyperlink w:anchor="__RefHeading___Toc35667_1890191151">
            <w:r>
              <w:rPr>
                <w:rStyle w:val="Style16"/>
              </w:rPr>
              <w:t>ΠΑΡΑΡΤΗΜΑΤΑ</w:t>
              <w:tab/>
              <w:t>76</w:t>
            </w:r>
          </w:hyperlink>
        </w:p>
        <w:p>
          <w:pPr>
            <w:pStyle w:val="25"/>
            <w:tabs>
              <w:tab w:val="clear" w:pos="720"/>
              <w:tab w:val="right" w:pos="9496" w:leader="dot"/>
            </w:tabs>
            <w:rPr/>
          </w:pPr>
          <w:hyperlink w:anchor="__RefHeading___Toc35669_1890191151">
            <w:r>
              <w:rPr>
                <w:rStyle w:val="Style16"/>
              </w:rPr>
              <w:t>ΠΑΡΑΡΤΗΜΑ Ι – Ενιαίο Ευρωπαϊκό Έγγραφο Συμβάσεων (ΕΕΕΣ)</w:t>
              <w:tab/>
              <w:t>76</w:t>
            </w:r>
          </w:hyperlink>
        </w:p>
        <w:p>
          <w:pPr>
            <w:pStyle w:val="25"/>
            <w:tabs>
              <w:tab w:val="clear" w:pos="720"/>
              <w:tab w:val="right" w:pos="9496" w:leader="dot"/>
            </w:tabs>
            <w:rPr/>
          </w:pPr>
          <w:hyperlink w:anchor="__RefHeading___Toc35671_1890191151">
            <w:r>
              <w:rPr>
                <w:rStyle w:val="Style16"/>
              </w:rPr>
              <w:t>ΠΑΡΑΡΤΗΜΑ ΙΙ ΑΝΑΛΥΤΙΚΗ ΠΕΡΙΓΡΑΦΗ ΦΥΣΙΚΟΥ ΚΑΙ ΟΙΚΟΝΟΜΙΚΟΥ ΑΝΤΙΚΕΙΜΕΝΟΥ ΤΗΣ ΣΥΜΒΑΣΗΣ - ΤΕΧΝΙΚΕΣ ΠΡΟΔΙΑΓΡΑΦΕΣ ΚΑΙ ΟΡΟΙ</w:t>
              <w:tab/>
              <w:t>77</w:t>
            </w:r>
          </w:hyperlink>
        </w:p>
        <w:p>
          <w:pPr>
            <w:pStyle w:val="25"/>
            <w:tabs>
              <w:tab w:val="clear" w:pos="720"/>
              <w:tab w:val="right" w:pos="9496" w:leader="dot"/>
            </w:tabs>
            <w:rPr/>
          </w:pPr>
          <w:hyperlink w:anchor="__RefHeading___Toc35673_1890191151">
            <w:r>
              <w:rPr>
                <w:rStyle w:val="Style16"/>
              </w:rPr>
              <w:t>ΜΕΡΟΣ Α. ΠΕΡΙΓΡΑΦΗ ΚΤΙΡΙΩΝ –ΑΠΑΙΤΟΥΜΕΝΕΣ ΩΡΕΣ ΚΑΘΑΡΙΟΤΗΤΑΣ</w:t>
              <w:tab/>
              <w:t>77</w:t>
            </w:r>
          </w:hyperlink>
        </w:p>
        <w:p>
          <w:pPr>
            <w:pStyle w:val="25"/>
            <w:tabs>
              <w:tab w:val="clear" w:pos="720"/>
              <w:tab w:val="right" w:pos="9496" w:leader="dot"/>
            </w:tabs>
            <w:rPr/>
          </w:pPr>
          <w:hyperlink w:anchor="__RefHeading___Toc35675_1890191151">
            <w:r>
              <w:rPr>
                <w:rStyle w:val="Style16"/>
              </w:rPr>
              <w:t>ΜΕΡΟΣ Β. ΦΥΛΛΟ ΣΥΜΜΟΡΦΩΣΗΣ</w:t>
              <w:tab/>
              <w:t>79</w:t>
            </w:r>
          </w:hyperlink>
        </w:p>
        <w:p>
          <w:pPr>
            <w:pStyle w:val="25"/>
            <w:tabs>
              <w:tab w:val="clear" w:pos="720"/>
              <w:tab w:val="right" w:pos="9496" w:leader="dot"/>
            </w:tabs>
            <w:rPr/>
          </w:pPr>
          <w:hyperlink w:anchor="__RefHeading___Toc35677_1890191151">
            <w:r>
              <w:rPr>
                <w:rStyle w:val="Style16"/>
              </w:rPr>
              <w:t>ΠΑΡΑΡΤΗΜΑ ΙΙΙ – Υποδείγματα Εγγυητικών Επιστολών</w:t>
              <w:tab/>
              <w:t>90</w:t>
            </w:r>
          </w:hyperlink>
        </w:p>
        <w:p>
          <w:pPr>
            <w:pStyle w:val="25"/>
            <w:tabs>
              <w:tab w:val="clear" w:pos="720"/>
              <w:tab w:val="right" w:pos="9496" w:leader="dot"/>
            </w:tabs>
            <w:rPr/>
          </w:pPr>
          <w:hyperlink w:anchor="__RefHeading___Toc35679_1890191151">
            <w:r>
              <w:rPr>
                <w:rStyle w:val="Style16"/>
              </w:rPr>
              <w:t>ΠΑΡΑΡΤΗΜΑ V Άλλες Δηλώσεις</w:t>
              <w:tab/>
              <w:t>94</w:t>
            </w:r>
          </w:hyperlink>
        </w:p>
        <w:p>
          <w:pPr>
            <w:pStyle w:val="25"/>
            <w:tabs>
              <w:tab w:val="clear" w:pos="720"/>
              <w:tab w:val="right" w:pos="9496" w:leader="dot"/>
            </w:tabs>
            <w:rPr/>
          </w:pPr>
          <w:hyperlink w:anchor="__RefHeading___Toc35681_1890191151">
            <w:r>
              <w:rPr>
                <w:rStyle w:val="Style16"/>
              </w:rPr>
              <w:t>ΠΑΡΑΡΤΗΜΑ VΙ – Υπόδειγμα Τυποποιημένου Εντύπου Προδικαστικής Προσφυγής</w:t>
              <w:tab/>
              <w:t>98</w:t>
            </w:r>
          </w:hyperlink>
        </w:p>
        <w:p>
          <w:pPr>
            <w:pStyle w:val="25"/>
            <w:tabs>
              <w:tab w:val="clear" w:pos="720"/>
              <w:tab w:val="right" w:pos="9496" w:leader="dot"/>
            </w:tabs>
            <w:rPr/>
          </w:pPr>
          <w:hyperlink w:anchor="__RefHeading___Toc35683_1890191151">
            <w:r>
              <w:rPr>
                <w:rStyle w:val="Style16"/>
              </w:rPr>
              <w:t>ΠΑΡΑΡΤΗΜΑ VΙΙ – Σχέδιο Σύμβασης -ΡΗΤΡΑ ΑΚΕΡΑΙΟΤΗΤΑΣ [επισυνάπτεται στο συμφωνητικό]</w:t>
              <w:tab/>
              <w:t>103</w:t>
            </w:r>
          </w:hyperlink>
        </w:p>
        <w:p>
          <w:pPr>
            <w:pStyle w:val="25"/>
            <w:tabs>
              <w:tab w:val="clear" w:pos="720"/>
              <w:tab w:val="right" w:pos="9496" w:leader="dot"/>
            </w:tabs>
            <w:rPr/>
          </w:pPr>
          <w:hyperlink w:anchor="__RefHeading___Toc35685_1890191151">
            <w:r>
              <w:rPr>
                <w:rStyle w:val="Style16"/>
              </w:rPr>
              <w:t>ΣΥΜΒΑΣΗ</w:t>
              <w:tab/>
              <w:t>103</w:t>
            </w:r>
          </w:hyperlink>
        </w:p>
        <w:p>
          <w:pPr>
            <w:pStyle w:val="25"/>
            <w:tabs>
              <w:tab w:val="clear" w:pos="720"/>
              <w:tab w:val="right" w:pos="9496" w:leader="dot"/>
            </w:tabs>
            <w:rPr/>
          </w:pPr>
          <w:hyperlink w:anchor="__RefHeading___Toc35687_1890191151">
            <w:r>
              <w:rPr>
                <w:rStyle w:val="Style16"/>
              </w:rPr>
              <w:t>ΑΡΘΡΟ 1: ΑΝΤΙΚΕΙΜΕΝΟ ΠΡΟΜΗΘΕΙΑΣ –ΤΕΧΝΙΚΕΣ ΠΡΟΔΙΑΓΡΑΦΕΣ ΚΑΙ ΟΡΟΙ</w:t>
              <w:tab/>
              <w:t>104</w:t>
            </w:r>
          </w:hyperlink>
        </w:p>
        <w:p>
          <w:pPr>
            <w:pStyle w:val="25"/>
            <w:tabs>
              <w:tab w:val="clear" w:pos="720"/>
              <w:tab w:val="right" w:pos="9496" w:leader="dot"/>
            </w:tabs>
            <w:rPr/>
          </w:pPr>
          <w:hyperlink w:anchor="__RefHeading___Toc35689_1890191151">
            <w:r>
              <w:rPr>
                <w:rStyle w:val="Style16"/>
              </w:rPr>
              <w:t>ΑΡΘΡΟ 2: ΧΡΗΜΑΤΟΔΟΤΗΣΗ ΣΥΜΒΑΣΗΣ – ΣΥΜΒΑΤΙΚΟ ΤΙΜΗΜΑ</w:t>
              <w:tab/>
              <w:t>112</w:t>
            </w:r>
          </w:hyperlink>
        </w:p>
        <w:p>
          <w:pPr>
            <w:pStyle w:val="25"/>
            <w:tabs>
              <w:tab w:val="clear" w:pos="720"/>
              <w:tab w:val="right" w:pos="9496" w:leader="dot"/>
            </w:tabs>
            <w:rPr/>
          </w:pPr>
          <w:hyperlink w:anchor="__RefHeading___Toc35691_1890191151">
            <w:r>
              <w:rPr>
                <w:rStyle w:val="Style16"/>
              </w:rPr>
              <w:t>ΑΡΘΡΟ 3: ΔΙΑΡΚΕΙΑ ΣΥΜΒΑΣΗΣ</w:t>
              <w:tab/>
              <w:t>113</w:t>
            </w:r>
          </w:hyperlink>
        </w:p>
        <w:p>
          <w:pPr>
            <w:pStyle w:val="25"/>
            <w:tabs>
              <w:tab w:val="clear" w:pos="720"/>
              <w:tab w:val="right" w:pos="9496" w:leader="dot"/>
            </w:tabs>
            <w:rPr/>
          </w:pPr>
          <w:hyperlink w:anchor="__RefHeading___Toc35693_1890191151">
            <w:r>
              <w:rPr>
                <w:rStyle w:val="Style16"/>
              </w:rPr>
              <w:t>ΑΡΘΡΟ 4: ΥΠΟΧΡΕΩΣΕΙΣ ΑΝΑΔΟΧΟΥ</w:t>
              <w:tab/>
              <w:t>113</w:t>
            </w:r>
          </w:hyperlink>
        </w:p>
        <w:p>
          <w:pPr>
            <w:pStyle w:val="25"/>
            <w:tabs>
              <w:tab w:val="clear" w:pos="720"/>
              <w:tab w:val="right" w:pos="9496" w:leader="dot"/>
            </w:tabs>
            <w:rPr/>
          </w:pPr>
          <w:hyperlink w:anchor="__RefHeading___Toc35695_1890191151">
            <w:r>
              <w:rPr>
                <w:rStyle w:val="Style16"/>
              </w:rPr>
              <w:t>ΑΡΘΡΟ 5: ΕΙΔΙΚΟΙ ΟΡΟΙ ΣΥΜΦΩΝΑ ΜΕ ΤΟ ΑΡΘΡΟ 68 ΤΟΥ Ν. 3863/2010 ΟΠΩΣ ΤΡΟΠΟΠΟΙΗΜΕΝΟ ΙΣΧΥΕΙ</w:t>
              <w:tab/>
              <w:t>117</w:t>
            </w:r>
          </w:hyperlink>
        </w:p>
        <w:p>
          <w:pPr>
            <w:pStyle w:val="25"/>
            <w:tabs>
              <w:tab w:val="clear" w:pos="720"/>
              <w:tab w:val="right" w:pos="9496" w:leader="dot"/>
            </w:tabs>
            <w:rPr/>
          </w:pPr>
          <w:hyperlink w:anchor="__RefHeading___Toc35697_1890191151">
            <w:r>
              <w:rPr>
                <w:rStyle w:val="Style16"/>
              </w:rPr>
              <w:t>ΑΡΘΡΟ 6: ΤΡΟΠΟΣ ΠΛΗΡΩΜΗΣ – ΚΡΑΤΗΣΕΙΣ</w:t>
              <w:tab/>
              <w:t>117</w:t>
            </w:r>
          </w:hyperlink>
        </w:p>
        <w:p>
          <w:pPr>
            <w:pStyle w:val="25"/>
            <w:tabs>
              <w:tab w:val="clear" w:pos="720"/>
              <w:tab w:val="right" w:pos="9496" w:leader="dot"/>
            </w:tabs>
            <w:rPr/>
          </w:pPr>
          <w:hyperlink w:anchor="__RefHeading___Toc35699_1890191151">
            <w:r>
              <w:rPr>
                <w:rStyle w:val="Style16"/>
              </w:rPr>
              <w:t>ΑΡΘΡΟ 7: ΑΝΑΠΡΟΣΑΡΜΟΓΗ ΤΙΜΗΣ</w:t>
              <w:tab/>
              <w:t>118</w:t>
            </w:r>
          </w:hyperlink>
        </w:p>
        <w:p>
          <w:pPr>
            <w:pStyle w:val="25"/>
            <w:tabs>
              <w:tab w:val="clear" w:pos="720"/>
              <w:tab w:val="right" w:pos="9496" w:leader="dot"/>
            </w:tabs>
            <w:rPr/>
          </w:pPr>
          <w:hyperlink w:anchor="__RefHeading___Toc35701_1890191151">
            <w:r>
              <w:rPr>
                <w:rStyle w:val="Style16"/>
              </w:rPr>
              <w:t>ΑΡΘΡΟ 8 : ΠΑΡΑΚΟΛΟΥΘΗΣΗ-ΠΑΡΑΛΑΒΗ ΑΝΤΙΚΕΙΜΕΝΟΥ-ΧΡΟΝΟΣ ΚΑΙ ΤΡΟΠΟΣ ΠΑΡΟΧΗ ΥΠΗΡΕΣΙΩΝ</w:t>
              <w:tab/>
              <w:t>119</w:t>
            </w:r>
          </w:hyperlink>
        </w:p>
        <w:p>
          <w:pPr>
            <w:pStyle w:val="25"/>
            <w:tabs>
              <w:tab w:val="clear" w:pos="720"/>
              <w:tab w:val="right" w:pos="9496" w:leader="dot"/>
            </w:tabs>
            <w:rPr/>
          </w:pPr>
          <w:hyperlink w:anchor="__RefHeading___Toc35703_1890191151">
            <w:r>
              <w:rPr>
                <w:rStyle w:val="Style16"/>
              </w:rPr>
              <w:t>ΑΡΘΡΟ 9: ΑΠΟΡΡΙΨΗ ΥΠΗΡΕΣΙΩΝ – ΠΑΡΑΔΟΤΕΩΝ- ΑΝΤΙΚΑΤΑΣΤΑΣΗ</w:t>
              <w:tab/>
              <w:t>120</w:t>
            </w:r>
          </w:hyperlink>
        </w:p>
        <w:p>
          <w:pPr>
            <w:pStyle w:val="25"/>
            <w:tabs>
              <w:tab w:val="clear" w:pos="720"/>
              <w:tab w:val="right" w:pos="9496" w:leader="dot"/>
            </w:tabs>
            <w:rPr/>
          </w:pPr>
          <w:hyperlink w:anchor="__RefHeading___Toc35705_1890191151">
            <w:r>
              <w:rPr>
                <w:rStyle w:val="Style16"/>
              </w:rPr>
              <w:t>ΑΡΘΡΟ 10 : ΕΓΓΥΗΣΕΙΣ</w:t>
              <w:tab/>
              <w:t>121</w:t>
            </w:r>
          </w:hyperlink>
        </w:p>
        <w:p>
          <w:pPr>
            <w:pStyle w:val="25"/>
            <w:tabs>
              <w:tab w:val="clear" w:pos="720"/>
              <w:tab w:val="right" w:pos="9496" w:leader="dot"/>
            </w:tabs>
            <w:rPr/>
          </w:pPr>
          <w:hyperlink w:anchor="__RefHeading___Toc35707_1890191151">
            <w:r>
              <w:rPr>
                <w:rStyle w:val="Style16"/>
              </w:rPr>
              <w:t>ΑΡΘΡΟ 11: ΥΠΕΡΓΟΛΑΒΙΑ</w:t>
              <w:tab/>
              <w:t>122</w:t>
            </w:r>
          </w:hyperlink>
        </w:p>
        <w:p>
          <w:pPr>
            <w:pStyle w:val="25"/>
            <w:tabs>
              <w:tab w:val="clear" w:pos="720"/>
              <w:tab w:val="right" w:pos="9496" w:leader="dot"/>
            </w:tabs>
            <w:rPr/>
          </w:pPr>
          <w:hyperlink w:anchor="__RefHeading___Toc35709_1890191151">
            <w:r>
              <w:rPr>
                <w:rStyle w:val="Style16"/>
              </w:rPr>
              <w:t>ΑΡΘΡΟ 12 : ΚΗΡΥΞΗ ΟΙΚΟΝΟΜΙΚΟΥ ΦΟΡΕΑ ΕΚΠΤΩΤΟΥ –ΚΥΡΩΣΕΙΣ</w:t>
              <w:tab/>
              <w:t>123</w:t>
            </w:r>
          </w:hyperlink>
        </w:p>
        <w:p>
          <w:pPr>
            <w:pStyle w:val="25"/>
            <w:tabs>
              <w:tab w:val="clear" w:pos="720"/>
              <w:tab w:val="right" w:pos="9496" w:leader="dot"/>
            </w:tabs>
            <w:rPr/>
          </w:pPr>
          <w:hyperlink w:anchor="__RefHeading___Toc35711_1890191151">
            <w:r>
              <w:rPr>
                <w:rStyle w:val="Style16"/>
              </w:rPr>
              <w:t>ΑΡΘΡΟ 13: ΤΡΟΠΟΠΟΙΗΣΗ ΣΥΜΒΑΣΗΣ ΚΑΤΑ ΤΗ ΔΙΑΡΚΕΙΑ ΤΗΣ</w:t>
              <w:tab/>
              <w:t>124</w:t>
            </w:r>
          </w:hyperlink>
        </w:p>
        <w:p>
          <w:pPr>
            <w:pStyle w:val="25"/>
            <w:tabs>
              <w:tab w:val="clear" w:pos="720"/>
              <w:tab w:val="right" w:pos="9496" w:leader="dot"/>
            </w:tabs>
            <w:rPr/>
          </w:pPr>
          <w:hyperlink w:anchor="__RefHeading___Toc35713_1890191151">
            <w:r>
              <w:rPr>
                <w:rStyle w:val="Style16"/>
              </w:rPr>
              <w:t>ΑΡΘΡΟ 14: ΑΝΩΤΕΡΑ ΒΙΑ</w:t>
              <w:tab/>
              <w:t>125</w:t>
            </w:r>
          </w:hyperlink>
        </w:p>
        <w:p>
          <w:pPr>
            <w:pStyle w:val="25"/>
            <w:tabs>
              <w:tab w:val="clear" w:pos="720"/>
              <w:tab w:val="right" w:pos="9496" w:leader="dot"/>
            </w:tabs>
            <w:rPr/>
          </w:pPr>
          <w:hyperlink w:anchor="__RefHeading___Toc35715_1890191151">
            <w:r>
              <w:rPr>
                <w:rStyle w:val="Style16"/>
              </w:rPr>
              <w:t>ΑΡΘΡΟ 15 : ΟΛΟΚΛΗΡΩΣΗ ΣΥΜΒΑΤΙΚΟΥ ΑΝΤΙΚΕΙΜΕΝΟΥ</w:t>
              <w:tab/>
              <w:t>125</w:t>
            </w:r>
          </w:hyperlink>
        </w:p>
        <w:p>
          <w:pPr>
            <w:pStyle w:val="25"/>
            <w:tabs>
              <w:tab w:val="clear" w:pos="720"/>
              <w:tab w:val="right" w:pos="9496" w:leader="dot"/>
            </w:tabs>
            <w:rPr/>
          </w:pPr>
          <w:hyperlink w:anchor="__RefHeading___Toc35717_1890191151">
            <w:r>
              <w:rPr>
                <w:rStyle w:val="Style16"/>
              </w:rPr>
              <w:t>ΑΡΘΡΟ 16 : ΔΙΚΑΙΩΜΑ ΜΟΝΟΜΕΡΟΥΣ ΛΥΣΗΣ ΤΗΣ ΣΥΜΒΑΣΗΣ</w:t>
              <w:tab/>
              <w:t>125</w:t>
            </w:r>
          </w:hyperlink>
        </w:p>
        <w:p>
          <w:pPr>
            <w:pStyle w:val="25"/>
            <w:tabs>
              <w:tab w:val="clear" w:pos="720"/>
              <w:tab w:val="right" w:pos="9496" w:leader="dot"/>
            </w:tabs>
            <w:rPr/>
          </w:pPr>
          <w:hyperlink w:anchor="__RefHeading___Toc35719_1890191151">
            <w:r>
              <w:rPr>
                <w:rStyle w:val="Style16"/>
              </w:rPr>
              <w:t>ΑΡΘΡΟ 17: ΕΚΧΩΡΗΣΕΙΣ-ΜΕΤΑΒΙΒΑΣΕΙΣ</w:t>
              <w:tab/>
              <w:t>127</w:t>
            </w:r>
          </w:hyperlink>
        </w:p>
        <w:p>
          <w:pPr>
            <w:pStyle w:val="25"/>
            <w:tabs>
              <w:tab w:val="clear" w:pos="720"/>
              <w:tab w:val="right" w:pos="9496" w:leader="dot"/>
            </w:tabs>
            <w:rPr/>
          </w:pPr>
          <w:hyperlink w:anchor="__RefHeading___Toc35721_1890191151">
            <w:r>
              <w:rPr>
                <w:rStyle w:val="Style16"/>
              </w:rPr>
              <w:t>ΑΡΘΡΟ 18 : ΕΦΑΡΜΟΣΤΕΟ ΔΙΚΑΙΟ</w:t>
              <w:tab/>
              <w:t>127</w:t>
            </w:r>
          </w:hyperlink>
        </w:p>
        <w:p>
          <w:pPr>
            <w:pStyle w:val="25"/>
            <w:tabs>
              <w:tab w:val="clear" w:pos="720"/>
              <w:tab w:val="right" w:pos="9496" w:leader="dot"/>
            </w:tabs>
            <w:rPr/>
          </w:pPr>
          <w:hyperlink w:anchor="__RefHeading___Toc35723_1890191151">
            <w:r>
              <w:rPr>
                <w:rStyle w:val="Style16"/>
              </w:rPr>
              <w:t>ΑΡΘΡΟ 19 : ΣΥΜΜΟΡΦΩΣΗ ΜΕ ΤΟΝ ΚΑΝΟΝΙΣΜΟ ΕΕ/2016/2019 ΚΑΙ ΤΟ Ν. 4624/2019 (Α 137)</w:t>
              <w:tab/>
              <w:t>127</w:t>
            </w:r>
          </w:hyperlink>
        </w:p>
        <w:p>
          <w:pPr>
            <w:pStyle w:val="25"/>
            <w:tabs>
              <w:tab w:val="clear" w:pos="720"/>
              <w:tab w:val="right" w:pos="9496" w:leader="dot"/>
            </w:tabs>
            <w:rPr/>
          </w:pPr>
          <w:hyperlink w:anchor="__RefHeading___Toc35725_1890191151">
            <w:r>
              <w:rPr>
                <w:rStyle w:val="Style16"/>
              </w:rPr>
              <w:t>ΑΡΘΡΟ 20 : ΛΟΙΠΟΙ ΓΕΝΙΚΟΙ ΟΡΟΙ</w:t>
              <w:tab/>
              <w:t>130</w:t>
            </w:r>
          </w:hyperlink>
        </w:p>
        <w:p>
          <w:pPr>
            <w:pStyle w:val="25"/>
            <w:tabs>
              <w:tab w:val="clear" w:pos="720"/>
              <w:tab w:val="right" w:pos="9496" w:leader="dot"/>
            </w:tabs>
            <w:rPr/>
          </w:pPr>
          <w:hyperlink w:anchor="__RefHeading___Toc35727_1890191151">
            <w:r>
              <w:rPr>
                <w:rStyle w:val="Style16"/>
                <w:i/>
              </w:rPr>
              <w:t>ΠΑΡΑΡΤΗΜΑ Ι</w:t>
              <w:tab/>
              <w:t>131</w:t>
            </w:r>
          </w:hyperlink>
        </w:p>
        <w:p>
          <w:pPr>
            <w:pStyle w:val="25"/>
            <w:tabs>
              <w:tab w:val="clear" w:pos="720"/>
              <w:tab w:val="right" w:pos="9496" w:leader="dot"/>
            </w:tabs>
            <w:rPr/>
          </w:pPr>
          <w:hyperlink w:anchor="__RefHeading___Toc35729_1890191151">
            <w:r>
              <w:rPr>
                <w:rStyle w:val="Style16"/>
                <w:i/>
              </w:rPr>
              <w:t>ΡΗΤΡΑ ΑΚΕΡΑΙΟΤΗΤΑΣ [επισυνάπτεται στο συμφωνητικό]</w:t>
            </w:r>
            <w:r>
              <w:rPr>
                <w:rStyle w:val="Style16"/>
              </w:rPr>
              <w:tab/>
              <w:t>131</w:t>
            </w:r>
          </w:hyperlink>
        </w:p>
        <w:p>
          <w:pPr>
            <w:pStyle w:val="25"/>
            <w:tabs>
              <w:tab w:val="clear" w:pos="720"/>
              <w:tab w:val="right" w:pos="9496" w:leader="dot"/>
            </w:tabs>
            <w:rPr/>
          </w:pPr>
          <w:hyperlink w:anchor="__RefHeading___Toc35731_1890191151">
            <w:r>
              <w:rPr>
                <w:rStyle w:val="Style16"/>
                <w:i/>
              </w:rPr>
              <w:t>ΠΑΡΑΡΤΗΜΑ ΙΙ</w:t>
            </w:r>
            <w:r>
              <w:rPr>
                <w:rStyle w:val="Style16"/>
              </w:rPr>
              <w:tab/>
              <w:t>133</w:t>
            </w:r>
          </w:hyperlink>
        </w:p>
        <w:p>
          <w:pPr>
            <w:pStyle w:val="25"/>
            <w:tabs>
              <w:tab w:val="clear" w:pos="720"/>
              <w:tab w:val="right" w:pos="9496" w:leader="dot"/>
            </w:tabs>
            <w:rPr/>
          </w:pPr>
          <w:hyperlink w:anchor="__RefHeading___Toc35733_1890191151">
            <w:r>
              <w:rPr>
                <w:rStyle w:val="Style16"/>
                <w:i/>
              </w:rPr>
              <w:t>ΣΧΕΔΙΟ ΠΡΑΚΤΙΚΟΥ ΕΠΙΤΡΟΠΗΣ ΠΑΡΑΚΟΛΟΥΘΗΣΗΣ, ΕΛΕΓΧΟΥ ΚΑΙ ΠΑΡΑΛΑΒΗΣ ΥΠΗΡΕΣΙΩΝ ΚΑΘΑΡΙΣΜΟΥ ΚΤΙΡΙΟΥ</w:t>
            </w:r>
            <w:r>
              <w:rPr>
                <w:rStyle w:val="Style16"/>
              </w:rPr>
              <w:tab/>
              <w:t>133</w:t>
            </w:r>
          </w:hyperlink>
          <w:r>
            <w:rPr>
              <w:rStyle w:val="Style16"/>
            </w:rPr>
            <w:fldChar w:fldCharType="end"/>
          </w:r>
        </w:p>
        <w:p>
          <w:pPr>
            <w:sectPr>
              <w:footerReference w:type="default" r:id="rId3"/>
              <w:footerReference w:type="first" r:id="rId4"/>
              <w:type w:val="nextPage"/>
              <w:pgSz w:w="11906" w:h="16838"/>
              <w:pgMar w:left="1276" w:right="1134" w:header="0" w:top="709" w:footer="422" w:bottom="851" w:gutter="0"/>
              <w:pgNumType w:fmt="decimal"/>
              <w:formProt w:val="false"/>
              <w:titlePg/>
              <w:textDirection w:val="lrTb"/>
              <w:docGrid w:type="default" w:linePitch="360" w:charSpace="4096"/>
            </w:sectPr>
          </w:pPr>
        </w:p>
        <w:p>
          <w:pPr>
            <w:pStyle w:val="Normal"/>
            <w:spacing w:lineRule="auto" w:line="360" w:before="0" w:after="0"/>
            <w:rPr>
              <w:rFonts w:ascii="Calibri" w:hAnsi="Calibri" w:eastAsia="Arial Unicode MS" w:cs="Calibri"/>
              <w:b/>
              <w:b/>
              <w:bCs/>
              <w:caps/>
              <w:szCs w:val="22"/>
              <w:lang w:val="el-GR" w:eastAsia="el-GR"/>
            </w:rPr>
          </w:pPr>
          <w:r>
            <w:rPr>
              <w:rFonts w:eastAsia="Arial Unicode MS" w:cs="Calibri"/>
              <w:b/>
              <w:bCs/>
              <w:caps/>
              <w:szCs w:val="22"/>
              <w:lang w:val="el-GR" w:eastAsia="el-GR"/>
            </w:rPr>
          </w:r>
        </w:p>
        <w:p>
          <w:pPr>
            <w:pStyle w:val="1"/>
            <w:numPr>
              <w:ilvl w:val="0"/>
              <w:numId w:val="1"/>
            </w:numPr>
            <w:tabs>
              <w:tab w:val="clear" w:pos="720"/>
              <w:tab w:val="left" w:pos="-436" w:leader="none"/>
              <w:tab w:val="left" w:pos="567" w:leader="none"/>
            </w:tabs>
            <w:spacing w:lineRule="auto" w:line="360" w:before="0" w:after="0"/>
            <w:ind w:left="567" w:right="0" w:hanging="567"/>
            <w:rPr>
              <w:rFonts w:ascii="Calibri" w:hAnsi="Calibri" w:eastAsia="Arial Unicode MS" w:cs="Calibri"/>
              <w:sz w:val="22"/>
              <w:szCs w:val="22"/>
              <w:lang w:val="el-GR"/>
            </w:rPr>
          </w:pPr>
          <w:bookmarkStart w:id="4" w:name="__RefHeading___Toc35533_1890191151"/>
          <w:bookmarkStart w:id="5" w:name="_Toc58242638"/>
          <w:bookmarkEnd w:id="4"/>
          <w:r>
            <w:rPr>
              <w:rFonts w:eastAsia="Arial Unicode MS" w:cs="Calibri" w:ascii="Calibri" w:hAnsi="Calibri"/>
              <w:sz w:val="22"/>
              <w:szCs w:val="22"/>
              <w:lang w:val="el-GR"/>
            </w:rPr>
            <w:t>ΑΝΑΘΕΤΟΥΣΑ ΑΡΧΗ ΚΑΙ ΑΝΤΙΚΕΙΜΕΝΟ ΣΥΜΒΑΣΗΣ</w:t>
          </w:r>
          <w:bookmarkEnd w:id="5"/>
        </w:p>
        <w:p>
          <w:pPr>
            <w:pStyle w:val="Normalwithoutspacing"/>
            <w:spacing w:lineRule="auto" w:line="276" w:before="0" w:after="0"/>
            <w:rPr>
              <w:sz w:val="24"/>
            </w:rPr>
          </w:pPr>
          <w:r>
            <w:rPr>
              <w:sz w:val="24"/>
            </w:rPr>
          </w:r>
        </w:p>
        <w:p>
          <w:pPr>
            <w:pStyle w:val="2"/>
            <w:spacing w:lineRule="auto" w:line="276" w:before="0" w:after="0"/>
            <w:ind w:left="567" w:right="0" w:hanging="567"/>
            <w:rPr/>
          </w:pPr>
          <w:bookmarkStart w:id="6" w:name="__RefHeading___Toc35535_1890191151"/>
          <w:bookmarkStart w:id="7" w:name="_Toc492539436"/>
          <w:bookmarkStart w:id="8" w:name="_Toc58242639"/>
          <w:bookmarkEnd w:id="6"/>
          <w:r>
            <w:rPr>
              <w:rFonts w:eastAsia="Arial Unicode MS" w:cs="Calibri" w:ascii="Calibri" w:hAnsi="Calibri"/>
              <w:sz w:val="24"/>
              <w:szCs w:val="24"/>
              <w:lang w:val="el-GR"/>
            </w:rPr>
            <w:t>1.1</w:t>
            <w:tab/>
            <w:t>Στοιχεία Αναθέτουσας Αρχής</w:t>
          </w:r>
          <w:bookmarkEnd w:id="7"/>
          <w:bookmarkEnd w:id="8"/>
          <w:r>
            <w:rPr>
              <w:rFonts w:eastAsia="Arial Unicode MS" w:cs="Calibri" w:ascii="Calibri" w:hAnsi="Calibri"/>
              <w:sz w:val="24"/>
              <w:szCs w:val="24"/>
              <w:lang w:val="el-GR"/>
            </w:rPr>
            <w:t xml:space="preserve"> </w:t>
          </w:r>
        </w:p>
        <w:p>
          <w:pPr>
            <w:pStyle w:val="Normalwithoutspacing"/>
            <w:spacing w:lineRule="auto" w:line="276" w:before="0" w:after="0"/>
            <w:rPr>
              <w:rFonts w:ascii="Calibri" w:hAnsi="Calibri" w:eastAsia="Arial Unicode MS" w:cs="Calibri"/>
              <w:sz w:val="24"/>
            </w:rPr>
          </w:pPr>
          <w:r>
            <w:rPr>
              <w:rFonts w:eastAsia="Arial Unicode MS" w:cs="Calibri"/>
              <w:sz w:val="24"/>
            </w:rPr>
          </w:r>
        </w:p>
      </w:sdtContent>
    </w:sdt>
    <w:tbl>
      <w:tblPr>
        <w:tblW w:w="9648" w:type="dxa"/>
        <w:jc w:val="left"/>
        <w:tblInd w:w="1" w:type="dxa"/>
        <w:tblCellMar>
          <w:top w:w="0" w:type="dxa"/>
          <w:left w:w="108" w:type="dxa"/>
          <w:bottom w:w="0" w:type="dxa"/>
          <w:right w:w="108" w:type="dxa"/>
        </w:tblCellMar>
      </w:tblPr>
      <w:tblGrid>
        <w:gridCol w:w="3597"/>
        <w:gridCol w:w="6050"/>
      </w:tblGrid>
      <w:tr>
        <w:trPr/>
        <w:tc>
          <w:tcPr>
            <w:tcW w:w="3597" w:type="dxa"/>
            <w:tcBorders>
              <w:top w:val="single" w:sz="4" w:space="0" w:color="000000"/>
              <w:left w:val="single" w:sz="4" w:space="0" w:color="000000"/>
              <w:bottom w:val="single" w:sz="4" w:space="0" w:color="000000"/>
            </w:tcBorders>
            <w:shd w:color="auto" w:fill="auto" w:val="clear"/>
            <w:vAlign w:val="center"/>
          </w:tcPr>
          <w:p>
            <w:pPr>
              <w:pStyle w:val="Normalwithoutspacing"/>
              <w:spacing w:lineRule="auto" w:line="276" w:before="0" w:after="0"/>
              <w:jc w:val="left"/>
              <w:rPr>
                <w:rFonts w:eastAsia="Arial Unicode MS" w:cs="Calibri"/>
                <w:b/>
                <w:b/>
                <w:sz w:val="24"/>
              </w:rPr>
            </w:pPr>
            <w:r>
              <w:rPr>
                <w:rFonts w:eastAsia="Arial Unicode MS" w:cs="Calibri"/>
                <w:b/>
                <w:sz w:val="24"/>
              </w:rPr>
              <w:t>Επωνυμία</w:t>
            </w:r>
          </w:p>
        </w:tc>
        <w:tc>
          <w:tcPr>
            <w:tcW w:w="6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rFonts w:eastAsia="Arial Unicode MS" w:cs="Calibri"/>
                <w:sz w:val="24"/>
              </w:rPr>
            </w:pPr>
            <w:r>
              <w:rPr>
                <w:rFonts w:eastAsia="Arial Unicode MS" w:cs="Calibri"/>
                <w:sz w:val="24"/>
              </w:rPr>
              <w:t>Ηλεκτρονικός Εθνικός Φορέας Κοινωνικής Ασφάλισης</w:t>
            </w:r>
          </w:p>
          <w:p>
            <w:pPr>
              <w:pStyle w:val="Normalwithoutspacing"/>
              <w:snapToGrid w:val="false"/>
              <w:spacing w:lineRule="auto" w:line="276" w:before="0" w:after="0"/>
              <w:jc w:val="left"/>
              <w:rPr/>
            </w:pPr>
            <w:r>
              <w:rPr>
                <w:rFonts w:eastAsia="Arial Unicode MS" w:cs="Calibri"/>
                <w:sz w:val="24"/>
              </w:rPr>
              <w:t>(</w:t>
            </w:r>
            <w:r>
              <w:rPr>
                <w:rFonts w:eastAsia="Arial Unicode MS" w:cs="Calibri"/>
                <w:sz w:val="24"/>
                <w:lang w:val="en-US"/>
              </w:rPr>
              <w:t>e</w:t>
            </w:r>
            <w:r>
              <w:rPr>
                <w:rFonts w:eastAsia="Arial Unicode MS" w:cs="Calibri"/>
                <w:sz w:val="24"/>
              </w:rPr>
              <w:t>-Ε.Φ.Κ.Α.) – ΠΥΣΥ ΘΕΣΣΑΛΙΑΣ</w:t>
            </w:r>
          </w:p>
        </w:tc>
      </w:tr>
      <w:tr>
        <w:trPr/>
        <w:tc>
          <w:tcPr>
            <w:tcW w:w="3597" w:type="dxa"/>
            <w:tcBorders>
              <w:top w:val="single" w:sz="4" w:space="0" w:color="000000"/>
              <w:left w:val="single" w:sz="4" w:space="0" w:color="000000"/>
              <w:bottom w:val="single" w:sz="4" w:space="0" w:color="000000"/>
            </w:tcBorders>
            <w:shd w:color="auto" w:fill="auto" w:val="clear"/>
            <w:vAlign w:val="center"/>
          </w:tcPr>
          <w:p>
            <w:pPr>
              <w:pStyle w:val="Normalwithoutspacing"/>
              <w:spacing w:lineRule="auto" w:line="276" w:before="0" w:after="0"/>
              <w:jc w:val="left"/>
              <w:rPr>
                <w:rFonts w:eastAsia="Arial Unicode MS" w:cs="Calibri"/>
                <w:b/>
                <w:b/>
                <w:sz w:val="24"/>
              </w:rPr>
            </w:pPr>
            <w:r>
              <w:rPr>
                <w:rFonts w:eastAsia="Arial Unicode MS" w:cs="Calibri"/>
                <w:b/>
                <w:sz w:val="24"/>
              </w:rPr>
              <w:t>Ταχυδρομική διεύθυνση</w:t>
            </w:r>
          </w:p>
        </w:tc>
        <w:tc>
          <w:tcPr>
            <w:tcW w:w="6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rFonts w:eastAsia="Arial Unicode MS" w:cs="Calibri"/>
                <w:sz w:val="24"/>
              </w:rPr>
            </w:pPr>
            <w:r>
              <w:rPr>
                <w:rFonts w:eastAsia="Arial Unicode MS" w:cs="Calibri"/>
                <w:sz w:val="24"/>
              </w:rPr>
              <w:t>Αγχιάλου &amp; Αγ. Τριάδος (Εντός Εμπορικού κέντρου ΓΑΙΑ)</w:t>
            </w:r>
          </w:p>
        </w:tc>
      </w:tr>
      <w:tr>
        <w:trPr/>
        <w:tc>
          <w:tcPr>
            <w:tcW w:w="3597" w:type="dxa"/>
            <w:tcBorders>
              <w:top w:val="single" w:sz="4" w:space="0" w:color="000000"/>
              <w:left w:val="single" w:sz="4" w:space="0" w:color="000000"/>
              <w:bottom w:val="single" w:sz="4" w:space="0" w:color="000000"/>
            </w:tcBorders>
            <w:shd w:color="auto" w:fill="auto" w:val="clear"/>
            <w:vAlign w:val="center"/>
          </w:tcPr>
          <w:p>
            <w:pPr>
              <w:pStyle w:val="Normalwithoutspacing"/>
              <w:spacing w:lineRule="auto" w:line="276" w:before="0" w:after="0"/>
              <w:jc w:val="left"/>
              <w:rPr>
                <w:rFonts w:eastAsia="Arial Unicode MS" w:cs="Calibri"/>
                <w:b/>
                <w:b/>
                <w:sz w:val="24"/>
              </w:rPr>
            </w:pPr>
            <w:r>
              <w:rPr>
                <w:rFonts w:eastAsia="Arial Unicode MS" w:cs="Calibri"/>
                <w:b/>
                <w:sz w:val="24"/>
              </w:rPr>
              <w:t>Πόλη</w:t>
            </w:r>
          </w:p>
        </w:tc>
        <w:tc>
          <w:tcPr>
            <w:tcW w:w="6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rFonts w:eastAsia="Arial Unicode MS" w:cs="Calibri"/>
                <w:sz w:val="24"/>
              </w:rPr>
            </w:pPr>
            <w:r>
              <w:rPr>
                <w:rFonts w:eastAsia="Arial Unicode MS" w:cs="Calibri"/>
                <w:sz w:val="24"/>
              </w:rPr>
              <w:t>Λάρισα</w:t>
            </w:r>
          </w:p>
        </w:tc>
      </w:tr>
      <w:tr>
        <w:trPr/>
        <w:tc>
          <w:tcPr>
            <w:tcW w:w="3597" w:type="dxa"/>
            <w:tcBorders>
              <w:top w:val="single" w:sz="4" w:space="0" w:color="000000"/>
              <w:left w:val="single" w:sz="4" w:space="0" w:color="000000"/>
              <w:bottom w:val="single" w:sz="4" w:space="0" w:color="000000"/>
            </w:tcBorders>
            <w:shd w:color="auto" w:fill="auto" w:val="clear"/>
            <w:vAlign w:val="center"/>
          </w:tcPr>
          <w:p>
            <w:pPr>
              <w:pStyle w:val="Normalwithoutspacing"/>
              <w:spacing w:lineRule="auto" w:line="276" w:before="0" w:after="0"/>
              <w:jc w:val="left"/>
              <w:rPr>
                <w:rFonts w:eastAsia="Arial Unicode MS" w:cs="Calibri"/>
                <w:b/>
                <w:b/>
                <w:sz w:val="24"/>
              </w:rPr>
            </w:pPr>
            <w:r>
              <w:rPr>
                <w:rFonts w:eastAsia="Arial Unicode MS" w:cs="Calibri"/>
                <w:b/>
                <w:sz w:val="24"/>
              </w:rPr>
              <w:t>Ταχυδρομικός Κωδικός</w:t>
            </w:r>
          </w:p>
        </w:tc>
        <w:tc>
          <w:tcPr>
            <w:tcW w:w="6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rFonts w:eastAsia="Arial Unicode MS" w:cs="Calibri"/>
                <w:sz w:val="24"/>
              </w:rPr>
            </w:pPr>
            <w:r>
              <w:rPr>
                <w:rFonts w:eastAsia="Arial Unicode MS" w:cs="Calibri"/>
                <w:sz w:val="24"/>
              </w:rPr>
              <w:t>41334</w:t>
            </w:r>
          </w:p>
        </w:tc>
      </w:tr>
      <w:tr>
        <w:trPr/>
        <w:tc>
          <w:tcPr>
            <w:tcW w:w="3597" w:type="dxa"/>
            <w:tcBorders>
              <w:top w:val="single" w:sz="4" w:space="0" w:color="000000"/>
              <w:left w:val="single" w:sz="4" w:space="0" w:color="000000"/>
              <w:bottom w:val="single" w:sz="4" w:space="0" w:color="000000"/>
            </w:tcBorders>
            <w:shd w:color="auto" w:fill="auto" w:val="clear"/>
            <w:vAlign w:val="center"/>
          </w:tcPr>
          <w:p>
            <w:pPr>
              <w:pStyle w:val="Normalwithoutspacing"/>
              <w:spacing w:lineRule="auto" w:line="276" w:before="0" w:after="0"/>
              <w:jc w:val="left"/>
              <w:rPr>
                <w:rFonts w:eastAsia="Arial Unicode MS" w:cs="Calibri"/>
                <w:b/>
                <w:b/>
                <w:sz w:val="24"/>
              </w:rPr>
            </w:pPr>
            <w:r>
              <w:rPr>
                <w:rFonts w:eastAsia="Arial Unicode MS" w:cs="Calibri"/>
                <w:b/>
                <w:sz w:val="24"/>
              </w:rPr>
              <w:t>Χώρα</w:t>
            </w:r>
          </w:p>
        </w:tc>
        <w:tc>
          <w:tcPr>
            <w:tcW w:w="6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rFonts w:eastAsia="Arial Unicode MS" w:cs="Calibri"/>
                <w:sz w:val="24"/>
              </w:rPr>
            </w:pPr>
            <w:r>
              <w:rPr>
                <w:rFonts w:eastAsia="Arial Unicode MS" w:cs="Calibri"/>
                <w:sz w:val="24"/>
              </w:rPr>
              <w:t>Ελλάδα</w:t>
            </w:r>
          </w:p>
        </w:tc>
      </w:tr>
      <w:tr>
        <w:trPr/>
        <w:tc>
          <w:tcPr>
            <w:tcW w:w="3597" w:type="dxa"/>
            <w:tcBorders>
              <w:top w:val="single" w:sz="4" w:space="0" w:color="000000"/>
              <w:left w:val="single" w:sz="4" w:space="0" w:color="000000"/>
              <w:bottom w:val="single" w:sz="4" w:space="0" w:color="000000"/>
            </w:tcBorders>
            <w:shd w:color="auto" w:fill="auto" w:val="clear"/>
            <w:vAlign w:val="center"/>
          </w:tcPr>
          <w:p>
            <w:pPr>
              <w:pStyle w:val="Normalwithoutspacing"/>
              <w:spacing w:lineRule="auto" w:line="276" w:before="0" w:after="0"/>
              <w:jc w:val="left"/>
              <w:rPr/>
            </w:pPr>
            <w:r>
              <w:rPr>
                <w:rFonts w:eastAsia="Arial Unicode MS" w:cs="Calibri"/>
                <w:b/>
                <w:color w:val="000000"/>
                <w:sz w:val="24"/>
              </w:rPr>
              <w:t xml:space="preserve">Κωδικός </w:t>
            </w:r>
            <w:r>
              <w:rPr>
                <w:rFonts w:eastAsia="Arial Unicode MS" w:cs="Calibri"/>
                <w:b/>
                <w:color w:val="000000"/>
                <w:sz w:val="24"/>
                <w:lang w:val="en-US"/>
              </w:rPr>
              <w:t>NUTS</w:t>
            </w:r>
            <w:r>
              <w:rPr>
                <w:rFonts w:eastAsia="Arial Unicode MS" w:cs="Calibri"/>
                <w:b/>
                <w:color w:val="000000"/>
                <w:sz w:val="24"/>
              </w:rPr>
              <w:t xml:space="preserve"> Αναθέτουσας Αρχής</w:t>
            </w:r>
          </w:p>
        </w:tc>
        <w:tc>
          <w:tcPr>
            <w:tcW w:w="6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76" w:before="0" w:after="0"/>
              <w:jc w:val="left"/>
              <w:rPr/>
            </w:pPr>
            <w:r>
              <w:rPr>
                <w:rFonts w:eastAsia="Arial Unicode MS" w:cs="Calibri"/>
                <w:color w:val="000000"/>
                <w:sz w:val="24"/>
                <w:lang w:val="en-US" w:eastAsia="en-US"/>
              </w:rPr>
              <w:t>EL</w:t>
            </w:r>
            <w:r>
              <w:rPr>
                <w:rFonts w:eastAsia="Arial Unicode MS" w:cs="Calibri"/>
                <w:color w:val="000000"/>
                <w:sz w:val="24"/>
                <w:lang w:val="el-GR" w:eastAsia="en-US"/>
              </w:rPr>
              <w:t>61</w:t>
            </w:r>
          </w:p>
        </w:tc>
      </w:tr>
      <w:tr>
        <w:trPr/>
        <w:tc>
          <w:tcPr>
            <w:tcW w:w="3597" w:type="dxa"/>
            <w:tcBorders>
              <w:top w:val="single" w:sz="4" w:space="0" w:color="000000"/>
              <w:left w:val="single" w:sz="4" w:space="0" w:color="000000"/>
              <w:bottom w:val="single" w:sz="4" w:space="0" w:color="000000"/>
            </w:tcBorders>
            <w:shd w:color="auto" w:fill="auto" w:val="clear"/>
            <w:vAlign w:val="center"/>
          </w:tcPr>
          <w:p>
            <w:pPr>
              <w:pStyle w:val="Normalwithoutspacing"/>
              <w:spacing w:lineRule="auto" w:line="276" w:before="0" w:after="0"/>
              <w:jc w:val="left"/>
              <w:rPr>
                <w:rFonts w:eastAsia="Arial Unicode MS" w:cs="Calibri"/>
                <w:b/>
                <w:b/>
                <w:sz w:val="24"/>
              </w:rPr>
            </w:pPr>
            <w:r>
              <w:rPr>
                <w:rFonts w:eastAsia="Arial Unicode MS" w:cs="Calibri"/>
                <w:b/>
                <w:sz w:val="24"/>
              </w:rPr>
              <w:t>Κωδικοί ΝUTS περιοχών εκτέλεσης της σύμβασης</w:t>
            </w:r>
          </w:p>
          <w:p>
            <w:pPr>
              <w:pStyle w:val="Normalwithoutspacing"/>
              <w:spacing w:lineRule="auto" w:line="276" w:before="0" w:after="0"/>
              <w:jc w:val="left"/>
              <w:rPr>
                <w:rFonts w:ascii="Calibri" w:hAnsi="Calibri" w:eastAsia="Arial Unicode MS" w:cs="Calibri"/>
                <w:b/>
                <w:b/>
                <w:sz w:val="24"/>
              </w:rPr>
            </w:pPr>
            <w:r>
              <w:rPr>
                <w:rFonts w:eastAsia="Arial Unicode MS" w:cs="Calibri"/>
                <w:b/>
                <w:sz w:val="24"/>
              </w:rPr>
            </w:r>
          </w:p>
        </w:tc>
        <w:tc>
          <w:tcPr>
            <w:tcW w:w="6050" w:type="dxa"/>
            <w:tcBorders>
              <w:top w:val="single" w:sz="4" w:space="0" w:color="000000"/>
              <w:left w:val="single" w:sz="4" w:space="0" w:color="000000"/>
              <w:bottom w:val="single" w:sz="4" w:space="0" w:color="000000"/>
              <w:right w:val="single" w:sz="4" w:space="0" w:color="000000"/>
            </w:tcBorders>
            <w:shd w:color="auto" w:fill="auto" w:val="clear"/>
            <w:vAlign w:val="center"/>
          </w:tcPr>
          <w:tbl>
            <w:tblPr>
              <w:tblW w:w="5812" w:type="dxa"/>
              <w:jc w:val="left"/>
              <w:tblInd w:w="0" w:type="dxa"/>
              <w:tblCellMar>
                <w:top w:w="0" w:type="dxa"/>
                <w:left w:w="108" w:type="dxa"/>
                <w:bottom w:w="0" w:type="dxa"/>
                <w:right w:w="108" w:type="dxa"/>
              </w:tblCellMar>
            </w:tblPr>
            <w:tblGrid>
              <w:gridCol w:w="1869"/>
              <w:gridCol w:w="1916"/>
              <w:gridCol w:w="2027"/>
            </w:tblGrid>
            <w:tr>
              <w:trPr>
                <w:trHeight w:val="300" w:hRule="atLeast"/>
              </w:trPr>
              <w:tc>
                <w:tcPr>
                  <w:tcW w:w="1869" w:type="dxa"/>
                  <w:tcBorders>
                    <w:top w:val="single" w:sz="8" w:space="0" w:color="000000"/>
                    <w:left w:val="single" w:sz="8" w:space="0" w:color="000000"/>
                    <w:bottom w:val="single" w:sz="8" w:space="0" w:color="000000"/>
                    <w:right w:val="single" w:sz="8" w:space="0" w:color="000000"/>
                  </w:tcBorders>
                  <w:shd w:color="auto" w:fill="BFBFBF" w:val="clear"/>
                  <w:vAlign w:val="center"/>
                </w:tcPr>
                <w:p>
                  <w:pPr>
                    <w:pStyle w:val="Normal"/>
                    <w:suppressAutoHyphens w:val="false"/>
                    <w:spacing w:lineRule="auto" w:line="276" w:before="0" w:after="0"/>
                    <w:jc w:val="center"/>
                    <w:rPr>
                      <w:b/>
                      <w:b/>
                      <w:bCs/>
                      <w:sz w:val="24"/>
                      <w:lang w:val="el-GR" w:eastAsia="el-GR"/>
                    </w:rPr>
                  </w:pPr>
                  <w:r>
                    <w:rPr>
                      <w:b/>
                      <w:bCs/>
                      <w:sz w:val="24"/>
                      <w:lang w:val="el-GR" w:eastAsia="el-GR"/>
                    </w:rPr>
                    <w:t>ΤΜΗΜΑΤΑ</w:t>
                  </w:r>
                </w:p>
              </w:tc>
              <w:tc>
                <w:tcPr>
                  <w:tcW w:w="1916" w:type="dxa"/>
                  <w:tcBorders>
                    <w:top w:val="single" w:sz="8" w:space="0" w:color="000000"/>
                    <w:bottom w:val="single" w:sz="8" w:space="0" w:color="000000"/>
                    <w:right w:val="single" w:sz="8" w:space="0" w:color="000000"/>
                  </w:tcBorders>
                  <w:shd w:color="auto" w:fill="BFBFBF" w:val="clear"/>
                  <w:vAlign w:val="center"/>
                </w:tcPr>
                <w:p>
                  <w:pPr>
                    <w:pStyle w:val="Normal"/>
                    <w:suppressAutoHyphens w:val="false"/>
                    <w:spacing w:lineRule="auto" w:line="276" w:before="0" w:after="0"/>
                    <w:jc w:val="center"/>
                    <w:rPr>
                      <w:b/>
                      <w:b/>
                      <w:bCs/>
                      <w:sz w:val="24"/>
                      <w:lang w:val="el-GR" w:eastAsia="el-GR"/>
                    </w:rPr>
                  </w:pPr>
                  <w:r>
                    <w:rPr>
                      <w:b/>
                      <w:bCs/>
                      <w:sz w:val="24"/>
                      <w:lang w:val="el-GR" w:eastAsia="el-GR"/>
                    </w:rPr>
                    <w:t>ΠΕΡΙΟΧΗ</w:t>
                  </w:r>
                </w:p>
              </w:tc>
              <w:tc>
                <w:tcPr>
                  <w:tcW w:w="2027" w:type="dxa"/>
                  <w:tcBorders>
                    <w:top w:val="single" w:sz="8" w:space="0" w:color="000000"/>
                    <w:bottom w:val="single" w:sz="8" w:space="0" w:color="000000"/>
                    <w:right w:val="single" w:sz="8" w:space="0" w:color="000000"/>
                  </w:tcBorders>
                  <w:shd w:color="auto" w:fill="BFBFBF" w:val="clear"/>
                  <w:vAlign w:val="center"/>
                </w:tcPr>
                <w:p>
                  <w:pPr>
                    <w:pStyle w:val="Normal"/>
                    <w:suppressAutoHyphens w:val="false"/>
                    <w:spacing w:lineRule="auto" w:line="276" w:before="0" w:after="0"/>
                    <w:jc w:val="center"/>
                    <w:rPr>
                      <w:b/>
                      <w:b/>
                      <w:bCs/>
                      <w:sz w:val="24"/>
                      <w:lang w:val="el-GR" w:eastAsia="el-GR"/>
                    </w:rPr>
                  </w:pPr>
                  <w:r>
                    <w:rPr>
                      <w:b/>
                      <w:bCs/>
                      <w:sz w:val="24"/>
                      <w:lang w:val="el-GR" w:eastAsia="el-GR"/>
                    </w:rPr>
                    <w:t>ΚΩΔΙΚΟΣ NUTS</w:t>
                  </w:r>
                </w:p>
              </w:tc>
            </w:tr>
            <w:tr>
              <w:trPr>
                <w:trHeight w:val="300" w:hRule="atLeast"/>
              </w:trPr>
              <w:tc>
                <w:tcPr>
                  <w:tcW w:w="1869" w:type="dxa"/>
                  <w:tcBorders>
                    <w:left w:val="single" w:sz="8" w:space="0" w:color="000000"/>
                    <w:bottom w:val="single" w:sz="8" w:space="0" w:color="000000"/>
                    <w:right w:val="single" w:sz="8" w:space="0" w:color="000000"/>
                  </w:tcBorders>
                  <w:shd w:color="auto" w:fill="auto" w:val="clear"/>
                  <w:vAlign w:val="center"/>
                </w:tcPr>
                <w:p>
                  <w:pPr>
                    <w:pStyle w:val="Normal"/>
                    <w:suppressAutoHyphens w:val="false"/>
                    <w:spacing w:lineRule="auto" w:line="276" w:before="0" w:after="0"/>
                    <w:jc w:val="center"/>
                    <w:rPr>
                      <w:b/>
                      <w:b/>
                      <w:bCs/>
                      <w:color w:val="000000"/>
                      <w:sz w:val="24"/>
                      <w:lang w:val="el-GR" w:eastAsia="el-GR"/>
                    </w:rPr>
                  </w:pPr>
                  <w:r>
                    <w:rPr>
                      <w:b/>
                      <w:bCs/>
                      <w:color w:val="000000"/>
                      <w:sz w:val="24"/>
                      <w:lang w:val="el-GR" w:eastAsia="el-GR"/>
                    </w:rPr>
                    <w:t>ΤΜΗΜΑ  1</w:t>
                  </w:r>
                </w:p>
              </w:tc>
              <w:tc>
                <w:tcPr>
                  <w:tcW w:w="1916" w:type="dxa"/>
                  <w:tcBorders>
                    <w:bottom w:val="single" w:sz="8" w:space="0" w:color="000000"/>
                    <w:right w:val="single" w:sz="8" w:space="0" w:color="000000"/>
                  </w:tcBorders>
                  <w:shd w:color="auto" w:fill="auto" w:val="clear"/>
                  <w:vAlign w:val="center"/>
                </w:tcPr>
                <w:p>
                  <w:pPr>
                    <w:pStyle w:val="Normal"/>
                    <w:suppressAutoHyphens w:val="false"/>
                    <w:spacing w:lineRule="auto" w:line="276" w:before="0" w:after="0"/>
                    <w:jc w:val="center"/>
                    <w:rPr>
                      <w:color w:val="000000"/>
                      <w:sz w:val="24"/>
                      <w:lang w:val="el-GR" w:eastAsia="el-GR"/>
                    </w:rPr>
                  </w:pPr>
                  <w:r>
                    <w:rPr>
                      <w:color w:val="000000"/>
                      <w:sz w:val="24"/>
                      <w:lang w:val="el-GR" w:eastAsia="el-GR"/>
                    </w:rPr>
                    <w:t>ΛΑΡΙΣΑ</w:t>
                  </w:r>
                </w:p>
              </w:tc>
              <w:tc>
                <w:tcPr>
                  <w:tcW w:w="2027" w:type="dxa"/>
                  <w:tcBorders>
                    <w:bottom w:val="single" w:sz="8" w:space="0" w:color="000000"/>
                    <w:right w:val="single" w:sz="8" w:space="0" w:color="000000"/>
                  </w:tcBorders>
                  <w:shd w:color="auto" w:fill="auto" w:val="clear"/>
                  <w:vAlign w:val="center"/>
                </w:tcPr>
                <w:p>
                  <w:pPr>
                    <w:pStyle w:val="Normal"/>
                    <w:suppressAutoHyphens w:val="false"/>
                    <w:spacing w:lineRule="auto" w:line="276" w:before="0" w:after="0"/>
                    <w:jc w:val="center"/>
                    <w:rPr/>
                  </w:pPr>
                  <w:r>
                    <w:rPr>
                      <w:color w:val="000000"/>
                      <w:sz w:val="24"/>
                      <w:lang w:val="en-US" w:eastAsia="el-GR"/>
                    </w:rPr>
                    <w:t>E61</w:t>
                  </w:r>
                  <w:r>
                    <w:rPr>
                      <w:color w:val="000000"/>
                      <w:sz w:val="24"/>
                      <w:lang w:val="el-GR" w:eastAsia="el-GR"/>
                    </w:rPr>
                    <w:t>2</w:t>
                  </w:r>
                </w:p>
              </w:tc>
            </w:tr>
            <w:tr>
              <w:trPr>
                <w:trHeight w:val="300" w:hRule="atLeast"/>
              </w:trPr>
              <w:tc>
                <w:tcPr>
                  <w:tcW w:w="1869" w:type="dxa"/>
                  <w:tcBorders>
                    <w:left w:val="single" w:sz="8" w:space="0" w:color="000000"/>
                    <w:bottom w:val="single" w:sz="8" w:space="0" w:color="000000"/>
                    <w:right w:val="single" w:sz="8" w:space="0" w:color="000000"/>
                  </w:tcBorders>
                  <w:shd w:color="auto" w:fill="auto" w:val="clear"/>
                  <w:vAlign w:val="center"/>
                </w:tcPr>
                <w:p>
                  <w:pPr>
                    <w:pStyle w:val="Normal"/>
                    <w:suppressAutoHyphens w:val="false"/>
                    <w:spacing w:lineRule="auto" w:line="276" w:before="0" w:after="0"/>
                    <w:jc w:val="center"/>
                    <w:rPr>
                      <w:b/>
                      <w:b/>
                      <w:bCs/>
                      <w:color w:val="000000"/>
                      <w:sz w:val="24"/>
                      <w:lang w:val="el-GR" w:eastAsia="el-GR"/>
                    </w:rPr>
                  </w:pPr>
                  <w:r>
                    <w:rPr>
                      <w:b/>
                      <w:bCs/>
                      <w:color w:val="000000"/>
                      <w:sz w:val="24"/>
                      <w:lang w:val="el-GR" w:eastAsia="el-GR"/>
                    </w:rPr>
                    <w:t>ΤΜΗΜΑ 2</w:t>
                  </w:r>
                </w:p>
              </w:tc>
              <w:tc>
                <w:tcPr>
                  <w:tcW w:w="1916" w:type="dxa"/>
                  <w:tcBorders>
                    <w:bottom w:val="single" w:sz="8" w:space="0" w:color="000000"/>
                    <w:right w:val="single" w:sz="8" w:space="0" w:color="000000"/>
                  </w:tcBorders>
                  <w:shd w:color="auto" w:fill="auto" w:val="clear"/>
                  <w:vAlign w:val="center"/>
                </w:tcPr>
                <w:p>
                  <w:pPr>
                    <w:pStyle w:val="Normal"/>
                    <w:suppressAutoHyphens w:val="false"/>
                    <w:spacing w:lineRule="auto" w:line="276" w:before="0" w:after="0"/>
                    <w:jc w:val="center"/>
                    <w:rPr>
                      <w:color w:val="000000"/>
                      <w:sz w:val="24"/>
                      <w:lang w:val="en-US" w:eastAsia="el-GR"/>
                    </w:rPr>
                  </w:pPr>
                  <w:r>
                    <w:rPr>
                      <w:color w:val="000000"/>
                      <w:sz w:val="24"/>
                      <w:lang w:val="en-US" w:eastAsia="el-GR"/>
                    </w:rPr>
                    <w:t>ΚΑΡΔΙΤΣΑ</w:t>
                  </w:r>
                </w:p>
              </w:tc>
              <w:tc>
                <w:tcPr>
                  <w:tcW w:w="2027" w:type="dxa"/>
                  <w:tcBorders>
                    <w:bottom w:val="single" w:sz="8" w:space="0" w:color="000000"/>
                    <w:right w:val="single" w:sz="8" w:space="0" w:color="000000"/>
                  </w:tcBorders>
                  <w:shd w:color="auto" w:fill="auto" w:val="clear"/>
                  <w:vAlign w:val="center"/>
                </w:tcPr>
                <w:p>
                  <w:pPr>
                    <w:pStyle w:val="Normal"/>
                    <w:suppressAutoHyphens w:val="false"/>
                    <w:spacing w:lineRule="auto" w:line="276" w:before="0" w:after="0"/>
                    <w:jc w:val="center"/>
                    <w:rPr>
                      <w:color w:val="000000"/>
                      <w:sz w:val="24"/>
                      <w:lang w:val="el-GR" w:eastAsia="el-GR"/>
                    </w:rPr>
                  </w:pPr>
                  <w:r>
                    <w:rPr>
                      <w:color w:val="000000"/>
                      <w:sz w:val="24"/>
                      <w:lang w:val="el-GR" w:eastAsia="el-GR"/>
                    </w:rPr>
                    <w:t>E611</w:t>
                  </w:r>
                </w:p>
              </w:tc>
            </w:tr>
            <w:tr>
              <w:trPr>
                <w:trHeight w:val="300" w:hRule="atLeast"/>
              </w:trPr>
              <w:tc>
                <w:tcPr>
                  <w:tcW w:w="1869" w:type="dxa"/>
                  <w:tcBorders>
                    <w:left w:val="single" w:sz="8" w:space="0" w:color="000000"/>
                    <w:bottom w:val="single" w:sz="8" w:space="0" w:color="000000"/>
                    <w:right w:val="single" w:sz="8" w:space="0" w:color="000000"/>
                  </w:tcBorders>
                  <w:shd w:color="auto" w:fill="auto" w:val="clear"/>
                  <w:vAlign w:val="center"/>
                </w:tcPr>
                <w:p>
                  <w:pPr>
                    <w:pStyle w:val="Normal"/>
                    <w:suppressAutoHyphens w:val="false"/>
                    <w:spacing w:lineRule="auto" w:line="276" w:before="0" w:after="0"/>
                    <w:jc w:val="center"/>
                    <w:rPr>
                      <w:b/>
                      <w:b/>
                      <w:bCs/>
                      <w:color w:val="000000"/>
                      <w:sz w:val="24"/>
                      <w:lang w:val="el-GR" w:eastAsia="el-GR"/>
                    </w:rPr>
                  </w:pPr>
                  <w:r>
                    <w:rPr>
                      <w:b/>
                      <w:bCs/>
                      <w:color w:val="000000"/>
                      <w:sz w:val="24"/>
                      <w:lang w:val="el-GR" w:eastAsia="el-GR"/>
                    </w:rPr>
                    <w:t>ΤΜΗΜΑ 3</w:t>
                  </w:r>
                </w:p>
              </w:tc>
              <w:tc>
                <w:tcPr>
                  <w:tcW w:w="1916" w:type="dxa"/>
                  <w:tcBorders>
                    <w:bottom w:val="single" w:sz="8" w:space="0" w:color="000000"/>
                    <w:right w:val="single" w:sz="8" w:space="0" w:color="000000"/>
                  </w:tcBorders>
                  <w:shd w:color="auto" w:fill="auto" w:val="clear"/>
                  <w:vAlign w:val="center"/>
                </w:tcPr>
                <w:p>
                  <w:pPr>
                    <w:pStyle w:val="Normal"/>
                    <w:suppressAutoHyphens w:val="false"/>
                    <w:spacing w:lineRule="auto" w:line="276" w:before="0" w:after="0"/>
                    <w:jc w:val="center"/>
                    <w:rPr>
                      <w:color w:val="000000"/>
                      <w:sz w:val="24"/>
                      <w:lang w:val="en-US" w:eastAsia="el-GR"/>
                    </w:rPr>
                  </w:pPr>
                  <w:r>
                    <w:rPr>
                      <w:color w:val="000000"/>
                      <w:sz w:val="24"/>
                      <w:lang w:val="en-US" w:eastAsia="el-GR"/>
                    </w:rPr>
                    <w:t>ΒΟΛΟΣ</w:t>
                  </w:r>
                </w:p>
              </w:tc>
              <w:tc>
                <w:tcPr>
                  <w:tcW w:w="2027" w:type="dxa"/>
                  <w:tcBorders>
                    <w:bottom w:val="single" w:sz="8" w:space="0" w:color="000000"/>
                    <w:right w:val="single" w:sz="8" w:space="0" w:color="000000"/>
                  </w:tcBorders>
                  <w:shd w:color="auto" w:fill="auto" w:val="clear"/>
                  <w:vAlign w:val="center"/>
                </w:tcPr>
                <w:p>
                  <w:pPr>
                    <w:pStyle w:val="Normal"/>
                    <w:suppressAutoHyphens w:val="false"/>
                    <w:spacing w:lineRule="auto" w:line="276" w:before="0" w:after="0"/>
                    <w:jc w:val="center"/>
                    <w:rPr/>
                  </w:pPr>
                  <w:r>
                    <w:rPr>
                      <w:color w:val="000000"/>
                      <w:sz w:val="24"/>
                      <w:lang w:val="en-US" w:eastAsia="el-GR"/>
                    </w:rPr>
                    <w:t>E61</w:t>
                  </w:r>
                  <w:r>
                    <w:rPr>
                      <w:color w:val="000000"/>
                      <w:sz w:val="24"/>
                      <w:lang w:val="el-GR" w:eastAsia="el-GR"/>
                    </w:rPr>
                    <w:t>3</w:t>
                  </w:r>
                </w:p>
              </w:tc>
            </w:tr>
            <w:tr>
              <w:trPr>
                <w:trHeight w:val="300" w:hRule="atLeast"/>
              </w:trPr>
              <w:tc>
                <w:tcPr>
                  <w:tcW w:w="1869" w:type="dxa"/>
                  <w:tcBorders>
                    <w:left w:val="single" w:sz="8" w:space="0" w:color="000000"/>
                    <w:bottom w:val="single" w:sz="8" w:space="0" w:color="000000"/>
                    <w:right w:val="single" w:sz="8" w:space="0" w:color="000000"/>
                  </w:tcBorders>
                  <w:shd w:color="auto" w:fill="auto" w:val="clear"/>
                  <w:vAlign w:val="center"/>
                </w:tcPr>
                <w:p>
                  <w:pPr>
                    <w:pStyle w:val="Normal"/>
                    <w:suppressAutoHyphens w:val="false"/>
                    <w:spacing w:lineRule="auto" w:line="276" w:before="0" w:after="0"/>
                    <w:jc w:val="center"/>
                    <w:rPr>
                      <w:b/>
                      <w:b/>
                      <w:bCs/>
                      <w:color w:val="000000"/>
                      <w:sz w:val="24"/>
                      <w:lang w:val="el-GR" w:eastAsia="el-GR"/>
                    </w:rPr>
                  </w:pPr>
                  <w:r>
                    <w:rPr>
                      <w:b/>
                      <w:bCs/>
                      <w:color w:val="000000"/>
                      <w:sz w:val="24"/>
                      <w:lang w:val="el-GR" w:eastAsia="el-GR"/>
                    </w:rPr>
                    <w:t>ΤΜΗΜΑ  4</w:t>
                  </w:r>
                </w:p>
              </w:tc>
              <w:tc>
                <w:tcPr>
                  <w:tcW w:w="1916" w:type="dxa"/>
                  <w:tcBorders>
                    <w:bottom w:val="single" w:sz="8" w:space="0" w:color="000000"/>
                    <w:right w:val="single" w:sz="8" w:space="0" w:color="000000"/>
                  </w:tcBorders>
                  <w:shd w:color="auto" w:fill="auto" w:val="clear"/>
                  <w:vAlign w:val="center"/>
                </w:tcPr>
                <w:p>
                  <w:pPr>
                    <w:pStyle w:val="Normal"/>
                    <w:suppressAutoHyphens w:val="false"/>
                    <w:spacing w:lineRule="auto" w:line="276" w:before="0" w:after="0"/>
                    <w:jc w:val="center"/>
                    <w:rPr>
                      <w:color w:val="000000"/>
                      <w:sz w:val="24"/>
                      <w:lang w:val="en-US" w:eastAsia="el-GR"/>
                    </w:rPr>
                  </w:pPr>
                  <w:r>
                    <w:rPr>
                      <w:color w:val="000000"/>
                      <w:sz w:val="24"/>
                      <w:lang w:val="en-US" w:eastAsia="el-GR"/>
                    </w:rPr>
                    <w:t>ΤΡΙΚΑΛΑ</w:t>
                  </w:r>
                </w:p>
              </w:tc>
              <w:tc>
                <w:tcPr>
                  <w:tcW w:w="2027" w:type="dxa"/>
                  <w:tcBorders>
                    <w:bottom w:val="single" w:sz="8" w:space="0" w:color="000000"/>
                    <w:right w:val="single" w:sz="8" w:space="0" w:color="000000"/>
                  </w:tcBorders>
                  <w:shd w:color="auto" w:fill="auto" w:val="clear"/>
                  <w:vAlign w:val="center"/>
                </w:tcPr>
                <w:p>
                  <w:pPr>
                    <w:pStyle w:val="Normal"/>
                    <w:suppressAutoHyphens w:val="false"/>
                    <w:spacing w:lineRule="auto" w:line="276" w:before="0" w:after="0"/>
                    <w:jc w:val="center"/>
                    <w:rPr/>
                  </w:pPr>
                  <w:r>
                    <w:rPr>
                      <w:color w:val="000000"/>
                      <w:sz w:val="24"/>
                      <w:lang w:val="en-US" w:eastAsia="el-GR"/>
                    </w:rPr>
                    <w:t>E61</w:t>
                  </w:r>
                  <w:r>
                    <w:rPr>
                      <w:color w:val="000000"/>
                      <w:sz w:val="24"/>
                      <w:lang w:val="el-GR" w:eastAsia="el-GR"/>
                    </w:rPr>
                    <w:t>1</w:t>
                  </w:r>
                </w:p>
              </w:tc>
            </w:tr>
          </w:tbl>
          <w:p>
            <w:pPr>
              <w:pStyle w:val="Normalwithoutspacing"/>
              <w:snapToGrid w:val="false"/>
              <w:spacing w:lineRule="auto" w:line="276" w:before="0" w:after="0"/>
              <w:jc w:val="left"/>
              <w:rPr>
                <w:rFonts w:ascii="Calibri" w:hAnsi="Calibri" w:eastAsia="Arial Unicode MS" w:cs="Calibri"/>
                <w:sz w:val="24"/>
              </w:rPr>
            </w:pPr>
            <w:r>
              <w:rPr>
                <w:rFonts w:eastAsia="Arial Unicode MS" w:cs="Calibri"/>
                <w:sz w:val="24"/>
              </w:rPr>
            </w:r>
          </w:p>
        </w:tc>
      </w:tr>
      <w:tr>
        <w:trPr/>
        <w:tc>
          <w:tcPr>
            <w:tcW w:w="3597" w:type="dxa"/>
            <w:tcBorders>
              <w:top w:val="single" w:sz="4" w:space="0" w:color="000000"/>
              <w:left w:val="single" w:sz="4" w:space="0" w:color="000000"/>
              <w:bottom w:val="single" w:sz="4" w:space="0" w:color="000000"/>
            </w:tcBorders>
            <w:shd w:color="auto" w:fill="auto" w:val="clear"/>
            <w:vAlign w:val="center"/>
          </w:tcPr>
          <w:p>
            <w:pPr>
              <w:pStyle w:val="Normalwithoutspacing"/>
              <w:spacing w:lineRule="auto" w:line="276" w:before="0" w:after="0"/>
              <w:jc w:val="left"/>
              <w:rPr>
                <w:rFonts w:eastAsia="Arial Unicode MS" w:cs="Calibri"/>
                <w:b/>
                <w:b/>
                <w:sz w:val="24"/>
              </w:rPr>
            </w:pPr>
            <w:r>
              <w:rPr>
                <w:rFonts w:eastAsia="Arial Unicode MS" w:cs="Calibri"/>
                <w:b/>
                <w:sz w:val="24"/>
              </w:rPr>
              <w:t>Τηλέφωνο</w:t>
            </w:r>
          </w:p>
        </w:tc>
        <w:tc>
          <w:tcPr>
            <w:tcW w:w="6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pPr>
            <w:r>
              <w:rPr>
                <w:rFonts w:eastAsia="Arial Unicode MS" w:cs="Calibri"/>
                <w:sz w:val="24"/>
              </w:rPr>
              <w:t>2410- 563198, 2410- 56318</w:t>
            </w:r>
            <w:r>
              <w:rPr>
                <w:rFonts w:eastAsia="Arial Unicode MS" w:cs="Calibri"/>
                <w:sz w:val="24"/>
                <w:lang w:val="en-US"/>
              </w:rPr>
              <w:t>3</w:t>
            </w:r>
          </w:p>
        </w:tc>
      </w:tr>
      <w:tr>
        <w:trPr/>
        <w:tc>
          <w:tcPr>
            <w:tcW w:w="3597" w:type="dxa"/>
            <w:tcBorders>
              <w:top w:val="single" w:sz="4" w:space="0" w:color="000000"/>
              <w:left w:val="single" w:sz="4" w:space="0" w:color="000000"/>
              <w:bottom w:val="single" w:sz="4" w:space="0" w:color="000000"/>
            </w:tcBorders>
            <w:shd w:color="auto" w:fill="auto" w:val="clear"/>
            <w:vAlign w:val="center"/>
          </w:tcPr>
          <w:p>
            <w:pPr>
              <w:pStyle w:val="Normalwithoutspacing"/>
              <w:spacing w:lineRule="auto" w:line="276" w:before="0" w:after="0"/>
              <w:jc w:val="left"/>
              <w:rPr>
                <w:rFonts w:eastAsia="Arial Unicode MS" w:cs="Calibri"/>
                <w:b/>
                <w:b/>
                <w:sz w:val="24"/>
              </w:rPr>
            </w:pPr>
            <w:r>
              <w:rPr>
                <w:rFonts w:eastAsia="Arial Unicode MS" w:cs="Calibri"/>
                <w:b/>
                <w:sz w:val="24"/>
              </w:rPr>
              <w:t>Φαξ</w:t>
            </w:r>
          </w:p>
        </w:tc>
        <w:tc>
          <w:tcPr>
            <w:tcW w:w="6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rFonts w:eastAsia="Arial Unicode MS" w:cs="Calibri"/>
                <w:sz w:val="24"/>
              </w:rPr>
            </w:pPr>
            <w:r>
              <w:rPr>
                <w:rFonts w:eastAsia="Arial Unicode MS" w:cs="Calibri"/>
                <w:sz w:val="24"/>
              </w:rPr>
              <w:t>2410-537610</w:t>
            </w:r>
          </w:p>
        </w:tc>
      </w:tr>
      <w:tr>
        <w:trPr/>
        <w:tc>
          <w:tcPr>
            <w:tcW w:w="3597" w:type="dxa"/>
            <w:tcBorders>
              <w:top w:val="single" w:sz="4" w:space="0" w:color="000000"/>
              <w:left w:val="single" w:sz="4" w:space="0" w:color="000000"/>
              <w:bottom w:val="single" w:sz="4" w:space="0" w:color="000000"/>
            </w:tcBorders>
            <w:shd w:color="auto" w:fill="auto" w:val="clear"/>
            <w:vAlign w:val="center"/>
          </w:tcPr>
          <w:p>
            <w:pPr>
              <w:pStyle w:val="Normalwithoutspacing"/>
              <w:spacing w:lineRule="auto" w:line="276" w:before="0" w:after="0"/>
              <w:jc w:val="left"/>
              <w:rPr>
                <w:rFonts w:eastAsia="Arial Unicode MS" w:cs="Calibri"/>
                <w:b/>
                <w:b/>
                <w:sz w:val="24"/>
              </w:rPr>
            </w:pPr>
            <w:r>
              <w:rPr>
                <w:rFonts w:eastAsia="Arial Unicode MS" w:cs="Calibri"/>
                <w:b/>
                <w:sz w:val="24"/>
              </w:rPr>
              <w:t xml:space="preserve">Ηλεκτρονικό Ταχυδρομείο </w:t>
            </w:r>
          </w:p>
        </w:tc>
        <w:tc>
          <w:tcPr>
            <w:tcW w:w="6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pPr>
            <w:r>
              <w:rPr>
                <w:rFonts w:eastAsia="Arial Unicode MS" w:cs="Calibri"/>
                <w:sz w:val="24"/>
                <w:lang w:val="en-US"/>
              </w:rPr>
              <w:t>pysy</w:t>
            </w:r>
            <w:r>
              <w:rPr>
                <w:rFonts w:eastAsia="Arial Unicode MS" w:cs="Calibri"/>
                <w:sz w:val="24"/>
              </w:rPr>
              <w:t>.</w:t>
            </w:r>
            <w:r>
              <w:rPr>
                <w:rFonts w:eastAsia="Arial Unicode MS" w:cs="Calibri"/>
                <w:sz w:val="24"/>
                <w:lang w:val="en-US"/>
              </w:rPr>
              <w:t>thessalias</w:t>
            </w:r>
            <w:r>
              <w:rPr>
                <w:rFonts w:eastAsia="Arial Unicode MS" w:cs="Calibri"/>
                <w:sz w:val="24"/>
              </w:rPr>
              <w:t>@</w:t>
            </w:r>
            <w:r>
              <w:rPr>
                <w:rFonts w:eastAsia="Arial Unicode MS" w:cs="Calibri"/>
                <w:sz w:val="24"/>
                <w:lang w:val="en-US"/>
              </w:rPr>
              <w:t>efka</w:t>
            </w:r>
            <w:r>
              <w:rPr>
                <w:rFonts w:eastAsia="Arial Unicode MS" w:cs="Calibri"/>
                <w:sz w:val="24"/>
              </w:rPr>
              <w:t>.</w:t>
            </w:r>
            <w:r>
              <w:rPr>
                <w:rFonts w:eastAsia="Arial Unicode MS" w:cs="Calibri"/>
                <w:sz w:val="24"/>
                <w:lang w:val="en-US"/>
              </w:rPr>
              <w:t>gov</w:t>
            </w:r>
            <w:r>
              <w:rPr>
                <w:rFonts w:eastAsia="Arial Unicode MS" w:cs="Calibri"/>
                <w:sz w:val="24"/>
              </w:rPr>
              <w:t>.</w:t>
            </w:r>
            <w:r>
              <w:rPr>
                <w:rFonts w:eastAsia="Arial Unicode MS" w:cs="Calibri"/>
                <w:sz w:val="24"/>
                <w:lang w:val="en-US"/>
              </w:rPr>
              <w:t>gr</w:t>
            </w:r>
          </w:p>
        </w:tc>
      </w:tr>
      <w:tr>
        <w:trPr/>
        <w:tc>
          <w:tcPr>
            <w:tcW w:w="3597" w:type="dxa"/>
            <w:tcBorders>
              <w:top w:val="single" w:sz="4" w:space="0" w:color="000000"/>
              <w:left w:val="single" w:sz="4" w:space="0" w:color="000000"/>
              <w:bottom w:val="single" w:sz="4" w:space="0" w:color="000000"/>
            </w:tcBorders>
            <w:shd w:color="auto" w:fill="auto" w:val="clear"/>
            <w:vAlign w:val="center"/>
          </w:tcPr>
          <w:p>
            <w:pPr>
              <w:pStyle w:val="Normalwithoutspacing"/>
              <w:spacing w:lineRule="auto" w:line="276" w:before="0" w:after="0"/>
              <w:jc w:val="left"/>
              <w:rPr>
                <w:rFonts w:eastAsia="Arial Unicode MS" w:cs="Calibri"/>
                <w:b/>
                <w:b/>
                <w:sz w:val="24"/>
              </w:rPr>
            </w:pPr>
            <w:r>
              <w:rPr>
                <w:rFonts w:eastAsia="Arial Unicode MS" w:cs="Calibri"/>
                <w:b/>
                <w:sz w:val="24"/>
              </w:rPr>
              <w:t>Αρμόδιος για πληροφορίες</w:t>
            </w:r>
          </w:p>
        </w:tc>
        <w:tc>
          <w:tcPr>
            <w:tcW w:w="6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rFonts w:eastAsia="Arial Unicode MS" w:cs="Calibri"/>
                <w:sz w:val="24"/>
              </w:rPr>
            </w:pPr>
            <w:r>
              <w:rPr>
                <w:rFonts w:eastAsia="Arial Unicode MS" w:cs="Calibri"/>
                <w:sz w:val="24"/>
              </w:rPr>
              <w:t xml:space="preserve">Κούμπου Παρασκευή, Στράντζαλη Ελένη </w:t>
            </w:r>
          </w:p>
        </w:tc>
      </w:tr>
      <w:tr>
        <w:trPr/>
        <w:tc>
          <w:tcPr>
            <w:tcW w:w="3597" w:type="dxa"/>
            <w:tcBorders>
              <w:top w:val="single" w:sz="4" w:space="0" w:color="000000"/>
              <w:left w:val="single" w:sz="4" w:space="0" w:color="000000"/>
              <w:bottom w:val="single" w:sz="4" w:space="0" w:color="000000"/>
            </w:tcBorders>
            <w:shd w:color="auto" w:fill="auto" w:val="clear"/>
            <w:vAlign w:val="center"/>
          </w:tcPr>
          <w:p>
            <w:pPr>
              <w:pStyle w:val="Normalwithoutspacing"/>
              <w:spacing w:lineRule="auto" w:line="276" w:before="0" w:after="0"/>
              <w:jc w:val="left"/>
              <w:rPr>
                <w:rFonts w:eastAsia="Arial Unicode MS" w:cs="Calibri"/>
                <w:b/>
                <w:b/>
                <w:sz w:val="24"/>
              </w:rPr>
            </w:pPr>
            <w:r>
              <w:rPr>
                <w:rFonts w:eastAsia="Arial Unicode MS" w:cs="Calibri"/>
                <w:b/>
                <w:sz w:val="24"/>
              </w:rPr>
              <w:t>Γενική Διεύθυνση στο διαδίκτυο  (URL)</w:t>
            </w:r>
          </w:p>
        </w:tc>
        <w:tc>
          <w:tcPr>
            <w:tcW w:w="6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pPr>
            <w:hyperlink r:id="rId5">
              <w:r>
                <w:rPr>
                  <w:rStyle w:val="Style7"/>
                  <w:rFonts w:eastAsia="Arial Unicode MS" w:cs="Calibri"/>
                  <w:sz w:val="24"/>
                  <w:lang w:val="en-US"/>
                </w:rPr>
                <w:t>www.efka.gov.gr</w:t>
              </w:r>
            </w:hyperlink>
          </w:p>
        </w:tc>
      </w:tr>
      <w:tr>
        <w:trPr/>
        <w:tc>
          <w:tcPr>
            <w:tcW w:w="3597" w:type="dxa"/>
            <w:tcBorders>
              <w:left w:val="single" w:sz="4" w:space="0" w:color="000000"/>
              <w:bottom w:val="single" w:sz="4" w:space="0" w:color="000000"/>
            </w:tcBorders>
            <w:shd w:color="auto" w:fill="auto" w:val="clear"/>
            <w:vAlign w:val="center"/>
          </w:tcPr>
          <w:p>
            <w:pPr>
              <w:pStyle w:val="Normalwithoutspacing"/>
              <w:spacing w:lineRule="auto" w:line="276" w:before="0" w:after="0"/>
              <w:jc w:val="left"/>
              <w:rPr>
                <w:sz w:val="24"/>
              </w:rPr>
            </w:pPr>
            <w:r>
              <w:rPr>
                <w:sz w:val="24"/>
              </w:rPr>
              <w:t>Διεύθυνση του προφίλ αγοραστή στο</w:t>
            </w:r>
          </w:p>
          <w:p>
            <w:pPr>
              <w:pStyle w:val="Normalwithoutspacing"/>
              <w:spacing w:lineRule="auto" w:line="276" w:before="0" w:after="0"/>
              <w:jc w:val="left"/>
              <w:rPr>
                <w:sz w:val="24"/>
              </w:rPr>
            </w:pPr>
            <w:r>
              <w:rPr>
                <w:sz w:val="24"/>
              </w:rPr>
              <w:t xml:space="preserve">διαδίκτυο (URL) </w:t>
            </w:r>
          </w:p>
        </w:tc>
        <w:tc>
          <w:tcPr>
            <w:tcW w:w="6050" w:type="dxa"/>
            <w:tcBorders>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pPr>
            <w:hyperlink r:id="rId6">
              <w:r>
                <w:rPr>
                  <w:rStyle w:val="Style7"/>
                  <w:sz w:val="24"/>
                </w:rPr>
                <w:t>https://www.efka.gov.gr</w:t>
              </w:r>
            </w:hyperlink>
          </w:p>
        </w:tc>
      </w:tr>
      <w:tr>
        <w:trPr/>
        <w:tc>
          <w:tcPr>
            <w:tcW w:w="3597" w:type="dxa"/>
            <w:tcBorders>
              <w:left w:val="single" w:sz="4" w:space="0" w:color="000000"/>
              <w:bottom w:val="single" w:sz="4" w:space="0" w:color="000000"/>
            </w:tcBorders>
            <w:shd w:color="auto" w:fill="auto" w:val="clear"/>
            <w:vAlign w:val="center"/>
          </w:tcPr>
          <w:p>
            <w:pPr>
              <w:pStyle w:val="Normalwithoutspacing"/>
              <w:spacing w:lineRule="auto" w:line="276" w:before="0" w:after="0"/>
              <w:jc w:val="left"/>
              <w:rPr>
                <w:sz w:val="24"/>
              </w:rPr>
            </w:pPr>
            <w:r>
              <w:rPr>
                <w:sz w:val="24"/>
              </w:rPr>
              <w:t>Αντικείμενο της Σύμβασης:</w:t>
            </w:r>
          </w:p>
        </w:tc>
        <w:tc>
          <w:tcPr>
            <w:tcW w:w="6050" w:type="dxa"/>
            <w:tcBorders>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sz w:val="24"/>
              </w:rPr>
            </w:pPr>
            <w:r>
              <w:rPr>
                <w:sz w:val="24"/>
              </w:rPr>
              <w:t>Παροχή υπηρεσιών καθαριότητας σε κτίρια στα οποία στεγάζονται οι Υπηρεσίες του e-ΕΦΚΑ Θεσσαλίας για χρονικό διάστημα είκοσι τεσσάρων (24) μηνών από την υπογραφή των συμβάσεων και με μονομερές δικαίωμα του Φορέα για παράταση των υπηρεσιών μέχρι δώδεκα (12) επιπλέον μηνών με τους ίδιους όρους</w:t>
            </w:r>
          </w:p>
        </w:tc>
      </w:tr>
      <w:tr>
        <w:trPr/>
        <w:tc>
          <w:tcPr>
            <w:tcW w:w="3597" w:type="dxa"/>
            <w:tcBorders>
              <w:left w:val="single" w:sz="4" w:space="0" w:color="000000"/>
              <w:bottom w:val="single" w:sz="4" w:space="0" w:color="000000"/>
            </w:tcBorders>
            <w:shd w:color="auto" w:fill="auto" w:val="clear"/>
            <w:vAlign w:val="center"/>
          </w:tcPr>
          <w:p>
            <w:pPr>
              <w:pStyle w:val="Normalwithoutspacing"/>
              <w:spacing w:lineRule="auto" w:line="276" w:before="0" w:after="0"/>
              <w:jc w:val="left"/>
              <w:rPr>
                <w:sz w:val="24"/>
              </w:rPr>
            </w:pPr>
            <w:r>
              <w:rPr>
                <w:sz w:val="24"/>
              </w:rPr>
              <w:t xml:space="preserve">Κωδικός CPV </w:t>
            </w:r>
          </w:p>
        </w:tc>
        <w:tc>
          <w:tcPr>
            <w:tcW w:w="6050" w:type="dxa"/>
            <w:tcBorders>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sz w:val="24"/>
              </w:rPr>
            </w:pPr>
            <w:r>
              <w:rPr>
                <w:sz w:val="24"/>
              </w:rPr>
              <w:t>90919200-4 Υπηρεσίες καθαρισμού Γραφείων</w:t>
            </w:r>
          </w:p>
        </w:tc>
      </w:tr>
      <w:tr>
        <w:trPr/>
        <w:tc>
          <w:tcPr>
            <w:tcW w:w="3597" w:type="dxa"/>
            <w:tcBorders>
              <w:left w:val="single" w:sz="4" w:space="0" w:color="000000"/>
              <w:bottom w:val="single" w:sz="4" w:space="0" w:color="000000"/>
            </w:tcBorders>
            <w:shd w:color="auto" w:fill="auto" w:val="clear"/>
            <w:vAlign w:val="center"/>
          </w:tcPr>
          <w:p>
            <w:pPr>
              <w:pStyle w:val="Normalwithoutspacing"/>
              <w:spacing w:lineRule="auto" w:line="276" w:before="0" w:after="0"/>
              <w:jc w:val="left"/>
              <w:rPr>
                <w:sz w:val="24"/>
              </w:rPr>
            </w:pPr>
            <w:r>
              <w:rPr>
                <w:sz w:val="24"/>
              </w:rPr>
              <w:t xml:space="preserve">Κ.Α.Ε. 00.10.0845 </w:t>
            </w:r>
          </w:p>
        </w:tc>
        <w:tc>
          <w:tcPr>
            <w:tcW w:w="6050" w:type="dxa"/>
            <w:tcBorders>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jc w:val="left"/>
              <w:rPr>
                <w:sz w:val="24"/>
              </w:rPr>
            </w:pPr>
            <w:r>
              <w:rPr>
                <w:sz w:val="24"/>
              </w:rPr>
              <w:t>«Δαπάνες Καθαρισμού Γραφείων»</w:t>
            </w:r>
          </w:p>
        </w:tc>
      </w:tr>
      <w:tr>
        <w:trPr/>
        <w:tc>
          <w:tcPr>
            <w:tcW w:w="3597" w:type="dxa"/>
            <w:tcBorders>
              <w:left w:val="single" w:sz="4" w:space="0" w:color="000000"/>
              <w:bottom w:val="single" w:sz="4" w:space="0" w:color="000000"/>
            </w:tcBorders>
            <w:shd w:color="auto" w:fill="auto" w:val="clear"/>
            <w:vAlign w:val="center"/>
          </w:tcPr>
          <w:p>
            <w:pPr>
              <w:pStyle w:val="Normalwithoutspacing"/>
              <w:spacing w:lineRule="auto" w:line="276" w:before="0" w:after="0"/>
              <w:jc w:val="left"/>
              <w:rPr>
                <w:sz w:val="24"/>
              </w:rPr>
            </w:pPr>
            <w:r>
              <w:rPr>
                <w:sz w:val="24"/>
              </w:rPr>
              <w:t xml:space="preserve">Συστημικός Αριθμός ΕΣΗΔΗΣ </w:t>
            </w:r>
          </w:p>
        </w:tc>
        <w:tc>
          <w:tcPr>
            <w:tcW w:w="6050" w:type="dxa"/>
            <w:tcBorders>
              <w:left w:val="single" w:sz="4" w:space="0" w:color="000000"/>
              <w:bottom w:val="single" w:sz="4" w:space="0" w:color="000000"/>
              <w:right w:val="single" w:sz="4" w:space="0" w:color="000000"/>
            </w:tcBorders>
            <w:shd w:color="auto" w:fill="auto" w:val="clear"/>
            <w:vAlign w:val="center"/>
          </w:tcPr>
          <w:p>
            <w:pPr>
              <w:pStyle w:val="Normalwithoutspacing"/>
              <w:snapToGrid w:val="false"/>
              <w:spacing w:lineRule="auto" w:line="276" w:before="0" w:after="0"/>
              <w:ind w:left="0" w:right="170" w:hanging="0"/>
              <w:jc w:val="left"/>
              <w:rPr>
                <w:sz w:val="24"/>
              </w:rPr>
            </w:pPr>
            <w:r>
              <w:rPr>
                <w:sz w:val="24"/>
              </w:rPr>
              <w:t>143718</w:t>
            </w:r>
          </w:p>
        </w:tc>
      </w:tr>
    </w:tbl>
    <w:p>
      <w:pPr>
        <w:pStyle w:val="Normalwithoutspacing"/>
        <w:spacing w:lineRule="auto" w:line="276" w:before="0" w:after="0"/>
        <w:jc w:val="center"/>
        <w:rPr>
          <w:rFonts w:ascii="Calibri" w:hAnsi="Calibri" w:eastAsia="Arial Unicode MS" w:cs="Calibri"/>
          <w:b/>
          <w:b/>
          <w:sz w:val="24"/>
          <w:u w:val="single"/>
        </w:rPr>
      </w:pPr>
      <w:r>
        <w:rPr>
          <w:rFonts w:eastAsia="Arial Unicode MS" w:cs="Calibri"/>
          <w:b/>
          <w:sz w:val="24"/>
          <w:u w:val="single"/>
        </w:rPr>
      </w:r>
    </w:p>
    <w:p>
      <w:pPr>
        <w:pStyle w:val="Normalwithoutspacing"/>
        <w:spacing w:lineRule="auto" w:line="276" w:before="0" w:after="0"/>
        <w:rPr>
          <w:rFonts w:eastAsia="Arial Unicode MS" w:cs="Calibri"/>
          <w:b/>
          <w:b/>
          <w:sz w:val="24"/>
        </w:rPr>
      </w:pPr>
      <w:r>
        <w:rPr>
          <w:rFonts w:eastAsia="Arial Unicode MS" w:cs="Calibri"/>
          <w:b/>
          <w:sz w:val="24"/>
        </w:rPr>
        <w:t xml:space="preserve">Είδος Αναθέτουσας Αρχής </w:t>
      </w:r>
    </w:p>
    <w:p>
      <w:pPr>
        <w:pStyle w:val="Normalwithoutspacing"/>
        <w:snapToGrid w:val="false"/>
        <w:spacing w:lineRule="auto" w:line="276" w:before="0" w:after="0"/>
        <w:rPr/>
      </w:pPr>
      <w:r>
        <w:rPr>
          <w:rFonts w:eastAsia="Arial Unicode MS" w:cs="Calibri"/>
          <w:sz w:val="24"/>
        </w:rPr>
        <w:t>Η Αναθέτουσα Αρχή και κύριος του αντικειμένου της Σύμβασης είναι η Περιφερειακή Υπηρεσία Συντονισμού και Υποστήριξης (Π.Υ.Σ.Υ.) Θεσσαλίας, η οποία συνιστά χωριστή επιχειρησιακή μονάδα ανεξαρτήτως υπεύθυνη για τη σύναψη συμβάσεων της ιδίας ή ορισμένων κατηγοριών αυτών, του άρθρου 6, παρ. α, εδαφ. Β΄ του Ν. 4412/2016, στην οποία έχουν μεταβιβαστεί και ασκούνται αρμοδιότητες, σύμφωνα με το Π.Δ. 8/2019 (ΦΕΚ 8/Α΄), όπως ισχύει, την αριθ. 88/συν.7η/28-2-2020 απόφαση του Δ.Σ. του e- Ε.Φ.Κ.Α και την αρ. 59679/12-03-2020 (ΦΕΚ 831/τ.Β΄/12-03-2020) διαπιστωτική πράξη του Διοικητή του e – ΕΦΚΑ, όπως συμπληρώθηκε και ισχύει. Ο e – ΕΦΚΑ είναι Νομικό Πρόσωπο Δημοσίου Δικαίου, αποτελεί μη κεντρική αναθέτουσα αρχή, ανήκει στη Γενική Κυβέρνηση και συστάθηκε με το Ν. 4387/2016 (Α΄ 85) και Ν.4670/20 (Α’ 43) όπως ισχύουν.</w:t>
      </w:r>
    </w:p>
    <w:p>
      <w:pPr>
        <w:pStyle w:val="Normalwithoutspacing"/>
        <w:spacing w:lineRule="auto" w:line="276" w:before="0" w:after="0"/>
        <w:rPr>
          <w:rFonts w:eastAsia="Arial Unicode MS" w:cs="Calibri"/>
          <w:b/>
          <w:b/>
          <w:sz w:val="24"/>
        </w:rPr>
      </w:pPr>
      <w:r>
        <w:rPr>
          <w:rFonts w:eastAsia="Arial Unicode MS" w:cs="Calibri"/>
          <w:b/>
          <w:sz w:val="24"/>
        </w:rPr>
      </w:r>
    </w:p>
    <w:p>
      <w:pPr>
        <w:pStyle w:val="Normalwithoutspacing"/>
        <w:spacing w:lineRule="auto" w:line="276" w:before="0" w:after="0"/>
        <w:rPr>
          <w:rFonts w:eastAsia="Arial Unicode MS" w:cs="Calibri"/>
          <w:b/>
          <w:b/>
          <w:sz w:val="24"/>
        </w:rPr>
      </w:pPr>
      <w:r>
        <w:rPr>
          <w:rFonts w:eastAsia="Arial Unicode MS" w:cs="Calibri"/>
          <w:b/>
          <w:sz w:val="24"/>
        </w:rPr>
        <w:t>Κύρια δραστηριότητα Α.Α.</w:t>
      </w:r>
    </w:p>
    <w:p>
      <w:pPr>
        <w:pStyle w:val="Normalwithoutspacing"/>
        <w:spacing w:lineRule="auto" w:line="276" w:before="0" w:after="0"/>
        <w:rPr>
          <w:rFonts w:eastAsia="Arial Unicode MS" w:cs="Calibri"/>
          <w:sz w:val="24"/>
        </w:rPr>
      </w:pPr>
      <w:r>
        <w:rPr>
          <w:rFonts w:eastAsia="Arial Unicode MS" w:cs="Calibri"/>
          <w:sz w:val="24"/>
        </w:rPr>
        <w:t>Η κύρια δραστηριότητα της Αναθέτουσας Αρχής είναι η Κοινωνική Ασφάλιση.</w:t>
      </w:r>
    </w:p>
    <w:p>
      <w:pPr>
        <w:pStyle w:val="Normalwithoutspacing"/>
        <w:spacing w:lineRule="auto" w:line="276" w:before="0" w:after="0"/>
        <w:rPr>
          <w:rFonts w:ascii="Calibri" w:hAnsi="Calibri" w:eastAsia="Arial Unicode MS" w:cs="Calibri"/>
          <w:sz w:val="24"/>
        </w:rPr>
      </w:pPr>
      <w:r>
        <w:rPr>
          <w:rFonts w:eastAsia="Arial Unicode MS" w:cs="Calibri"/>
          <w:sz w:val="24"/>
        </w:rPr>
      </w:r>
    </w:p>
    <w:p>
      <w:pPr>
        <w:pStyle w:val="Normalwithoutspacing"/>
        <w:spacing w:lineRule="auto" w:line="276" w:before="0" w:after="0"/>
        <w:rPr>
          <w:rFonts w:eastAsia="Arial Unicode MS" w:cs="Calibri"/>
          <w:b/>
          <w:b/>
          <w:sz w:val="24"/>
        </w:rPr>
      </w:pPr>
      <w:r>
        <w:rPr>
          <w:rFonts w:eastAsia="Arial Unicode MS" w:cs="Calibri"/>
          <w:b/>
          <w:sz w:val="24"/>
        </w:rPr>
        <w:t xml:space="preserve">Στοιχεία Επικοινωνίας </w:t>
      </w:r>
    </w:p>
    <w:p>
      <w:pPr>
        <w:pStyle w:val="Normalwithoutspacing"/>
        <w:spacing w:lineRule="auto" w:line="276" w:before="0" w:after="0"/>
        <w:ind w:left="567" w:right="0" w:hanging="567"/>
        <w:rPr/>
      </w:pPr>
      <w:r>
        <w:rPr>
          <w:rFonts w:eastAsia="Arial Unicode MS" w:cs="Calibri"/>
          <w:b/>
          <w:sz w:val="24"/>
        </w:rPr>
        <w:t>α)</w:t>
      </w:r>
      <w:r>
        <w:rPr>
          <w:rFonts w:eastAsia="Arial Unicode MS" w:cs="Calibri"/>
          <w:sz w:val="24"/>
        </w:rPr>
        <w:tab/>
        <w:t xml:space="preserve">Τα έγγραφα της σύμβασης είναι διαθέσιμα για ελεύθερη, πλήρη, άμεση &amp; δωρεάν ηλεκτρονική πρόσβαση μέσω της διαδικτυακής πύλης: </w:t>
      </w:r>
      <w:r>
        <w:rPr>
          <w:rStyle w:val="Style7"/>
          <w:rFonts w:eastAsia="Arial Unicode MS" w:cs="Calibri"/>
          <w:sz w:val="24"/>
          <w:highlight w:val="white"/>
        </w:rPr>
        <w:t>www.promitheus.gov.gr</w:t>
      </w:r>
      <w:r>
        <w:rPr>
          <w:rStyle w:val="Style7"/>
          <w:rFonts w:eastAsia="Arial Unicode MS" w:cs="Calibri"/>
          <w:sz w:val="24"/>
          <w:highlight w:val="white"/>
          <w:u w:val="none"/>
        </w:rPr>
        <w:t xml:space="preserve"> </w:t>
      </w:r>
      <w:r>
        <w:rPr>
          <w:rFonts w:eastAsia="Arial Unicode MS" w:cs="Calibri"/>
          <w:sz w:val="24"/>
        </w:rPr>
        <w:t>του Ε.Σ.Η.ΔΗ.Σ.</w:t>
      </w:r>
    </w:p>
    <w:p>
      <w:pPr>
        <w:pStyle w:val="Normalwithoutspacing"/>
        <w:spacing w:lineRule="auto" w:line="276"/>
        <w:ind w:left="567" w:right="0" w:hanging="567"/>
        <w:rPr/>
      </w:pPr>
      <w:r>
        <w:rPr>
          <w:rFonts w:eastAsia="Arial Unicode MS" w:cs="Calibri"/>
          <w:b/>
          <w:sz w:val="24"/>
        </w:rPr>
        <w:t>β)</w:t>
        <w:tab/>
      </w:r>
      <w:r>
        <w:rPr>
          <w:rFonts w:eastAsia="Arial Unicode MS" w:cs="Calibri"/>
          <w:sz w:val="24"/>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του (www.promitheus.gov.gr ) του ΟΠΣ Ε.Σ.Η.ΔΗ.Σ.</w:t>
      </w:r>
    </w:p>
    <w:p>
      <w:pPr>
        <w:pStyle w:val="Normalwithoutspacing"/>
        <w:spacing w:lineRule="auto" w:line="276" w:before="0" w:after="0"/>
        <w:ind w:left="567" w:right="0" w:hanging="567"/>
        <w:rPr/>
      </w:pPr>
      <w:r>
        <w:rPr>
          <w:rFonts w:eastAsia="Arial Unicode MS" w:cs="Calibri"/>
          <w:b/>
          <w:sz w:val="24"/>
        </w:rPr>
        <w:t>γ)</w:t>
      </w:r>
      <w:r>
        <w:rPr>
          <w:rFonts w:eastAsia="Arial Unicode MS" w:cs="Calibri"/>
          <w:sz w:val="24"/>
        </w:rPr>
        <w:tab/>
        <w:t>Περαιτέρω πληροφορίες είναι διαθέσιμες από την προαναφερθείσα διεύθυνση.</w:t>
      </w:r>
    </w:p>
    <w:p>
      <w:pPr>
        <w:pStyle w:val="Normalwithoutspacing"/>
        <w:spacing w:lineRule="auto" w:line="276" w:before="0" w:after="0"/>
        <w:ind w:left="567" w:right="0" w:hanging="567"/>
        <w:rPr>
          <w:rFonts w:ascii="Calibri" w:hAnsi="Calibri" w:eastAsia="Arial Unicode MS" w:cs="Calibri"/>
          <w:sz w:val="24"/>
        </w:rPr>
      </w:pPr>
      <w:r>
        <w:rPr>
          <w:rFonts w:eastAsia="Arial Unicode MS" w:cs="Calibri"/>
          <w:sz w:val="24"/>
        </w:rPr>
      </w:r>
    </w:p>
    <w:p>
      <w:pPr>
        <w:pStyle w:val="2"/>
        <w:spacing w:lineRule="auto" w:line="276" w:before="0" w:after="0"/>
        <w:ind w:left="567" w:right="0" w:hanging="567"/>
        <w:rPr>
          <w:rFonts w:ascii="Calibri" w:hAnsi="Calibri" w:eastAsia="Arial Unicode MS" w:cs="Calibri"/>
          <w:sz w:val="24"/>
          <w:szCs w:val="24"/>
          <w:lang w:val="el-GR"/>
        </w:rPr>
      </w:pPr>
      <w:bookmarkStart w:id="9" w:name="__RefHeading___Toc35537_1890191151"/>
      <w:bookmarkStart w:id="10" w:name="_Toc58242640"/>
      <w:bookmarkStart w:id="11" w:name="_Toc492539437"/>
      <w:bookmarkEnd w:id="9"/>
      <w:r>
        <w:rPr>
          <w:rFonts w:eastAsia="Arial Unicode MS" w:cs="Calibri" w:ascii="Calibri" w:hAnsi="Calibri"/>
          <w:sz w:val="24"/>
          <w:szCs w:val="24"/>
          <w:lang w:val="el-GR"/>
        </w:rPr>
        <w:t>1.2</w:t>
        <w:tab/>
        <w:t>Στοιχεία Διαδικασίας - Χρηματοδότηση</w:t>
      </w:r>
      <w:bookmarkEnd w:id="10"/>
      <w:bookmarkEnd w:id="11"/>
    </w:p>
    <w:p>
      <w:pPr>
        <w:pStyle w:val="Normal"/>
        <w:spacing w:lineRule="auto" w:line="276" w:before="0" w:after="0"/>
        <w:rPr>
          <w:rFonts w:eastAsia="Arial Unicode MS" w:cs="Calibri"/>
          <w:b/>
          <w:b/>
          <w:sz w:val="24"/>
          <w:u w:val="single"/>
          <w:lang w:val="el-GR"/>
        </w:rPr>
      </w:pPr>
      <w:r>
        <w:rPr>
          <w:rFonts w:eastAsia="Arial Unicode MS" w:cs="Calibri"/>
          <w:b/>
          <w:sz w:val="24"/>
          <w:u w:val="single"/>
          <w:lang w:val="el-GR"/>
        </w:rPr>
        <w:t xml:space="preserve">Είδος διαδικασίας </w:t>
      </w:r>
    </w:p>
    <w:p>
      <w:pPr>
        <w:pStyle w:val="Normalwithoutspacing"/>
        <w:spacing w:lineRule="auto" w:line="276" w:before="0" w:after="0"/>
        <w:rPr>
          <w:rFonts w:eastAsia="Arial Unicode MS" w:cs="Calibri"/>
          <w:sz w:val="24"/>
        </w:rPr>
      </w:pPr>
      <w:r>
        <w:rPr>
          <w:rFonts w:eastAsia="Arial Unicode MS" w:cs="Calibri"/>
          <w:sz w:val="24"/>
        </w:rPr>
        <w:t xml:space="preserve">Ο διαγωνισμός θα διεξαχθεί με την ανοικτή διαδικασία του άρθρου 27 του ν. 4412/16. </w:t>
      </w:r>
    </w:p>
    <w:p>
      <w:pPr>
        <w:pStyle w:val="Normalwithoutspacing"/>
        <w:spacing w:lineRule="auto" w:line="276" w:before="0" w:after="0"/>
        <w:rPr>
          <w:rFonts w:eastAsia="Arial Unicode MS" w:cs="Calibri"/>
          <w:b/>
          <w:b/>
          <w:sz w:val="24"/>
        </w:rPr>
      </w:pPr>
      <w:r>
        <w:rPr>
          <w:rFonts w:eastAsia="Arial Unicode MS" w:cs="Calibri"/>
          <w:b/>
          <w:sz w:val="24"/>
        </w:rPr>
      </w:r>
    </w:p>
    <w:p>
      <w:pPr>
        <w:pStyle w:val="Normalwithoutspacing"/>
        <w:spacing w:lineRule="auto" w:line="276" w:before="0" w:after="0"/>
        <w:rPr>
          <w:rFonts w:eastAsia="Arial Unicode MS" w:cs="Calibri"/>
          <w:b/>
          <w:b/>
          <w:sz w:val="24"/>
          <w:u w:val="single"/>
        </w:rPr>
      </w:pPr>
      <w:r>
        <w:rPr>
          <w:rFonts w:eastAsia="Arial Unicode MS" w:cs="Calibri"/>
          <w:b/>
          <w:sz w:val="24"/>
          <w:u w:val="single"/>
        </w:rPr>
        <w:t>Χρηματοδότηση της σύμβασης</w:t>
      </w:r>
    </w:p>
    <w:p>
      <w:pPr>
        <w:pStyle w:val="Normalwithoutspacing"/>
        <w:spacing w:lineRule="auto" w:line="276" w:before="0" w:after="0"/>
        <w:rPr/>
      </w:pPr>
      <w:r>
        <w:rPr>
          <w:rFonts w:eastAsia="Arial Unicode MS" w:cs="Calibri"/>
          <w:sz w:val="24"/>
        </w:rPr>
        <w:t xml:space="preserve">Φορέας χρηματοδότησης της παρούσας σύμβασης είναι ο τακτικός προϋπολογισμός του </w:t>
      </w:r>
      <w:r>
        <w:rPr>
          <w:rFonts w:eastAsia="Arial Unicode MS" w:cs="Calibri"/>
          <w:sz w:val="24"/>
          <w:lang w:val="en-US"/>
        </w:rPr>
        <w:t>e</w:t>
      </w:r>
      <w:r>
        <w:rPr>
          <w:rFonts w:eastAsia="Arial Unicode MS" w:cs="Calibri"/>
          <w:sz w:val="24"/>
        </w:rPr>
        <w:t>-Ε.Φ.Κ.Α.</w:t>
      </w:r>
    </w:p>
    <w:p>
      <w:pPr>
        <w:pStyle w:val="Normalwithoutspacing"/>
        <w:spacing w:lineRule="auto" w:line="276" w:before="0" w:after="0"/>
        <w:rPr/>
      </w:pPr>
      <w:r>
        <w:rPr>
          <w:rFonts w:eastAsia="Arial Unicode MS" w:cs="Calibri"/>
          <w:sz w:val="24"/>
        </w:rPr>
        <w:t xml:space="preserve">Η </w:t>
      </w:r>
      <w:r>
        <w:rPr>
          <w:rFonts w:eastAsia="Arial Unicode MS" w:cs="Calibri"/>
          <w:b/>
          <w:bCs/>
          <w:iCs/>
          <w:sz w:val="24"/>
        </w:rPr>
        <w:t>προϋπολογισθείσα</w:t>
      </w:r>
      <w:r>
        <w:rPr>
          <w:rFonts w:eastAsia="Arial Unicode MS" w:cs="Calibri"/>
          <w:sz w:val="24"/>
        </w:rPr>
        <w:t xml:space="preserve"> δαπάνη (συμπ/νης της παράτασης) ύψους </w:t>
      </w:r>
      <w:r>
        <w:rPr>
          <w:rFonts w:eastAsia="Arial Unicode MS" w:cs="Calibri"/>
          <w:b/>
          <w:bCs/>
          <w:sz w:val="24"/>
        </w:rPr>
        <w:t>#425.307,60€# πλέον ΦΠΑ ή #527.381,42€# συμπ/νου του ΦΠΑ 24%</w:t>
      </w:r>
      <w:r>
        <w:rPr>
          <w:rFonts w:eastAsia="Arial Unicode MS" w:cs="Calibri"/>
          <w:sz w:val="24"/>
        </w:rPr>
        <w:t xml:space="preserve"> για την παροχή υπηρεσιών καθαριότητας στα κτίρια που στεγάζουν τις Υπηρεσίες του e-ΕΦΚΑ της Λάρισας, του Βόλου, της Καρδίτσας και των Τρικάλων, αρμοδιότητας της Π.Υ.Σ.Υ. Θεσσαλίας για τη διενέργεια του ανοικτού ηλεκτρονικού διαγωνισμού άνω των ορίων, σύμφωνα με το άρθρο 27 του Ν. 4412/2016, </w:t>
      </w:r>
      <w:r>
        <w:rPr>
          <w:rFonts w:eastAsia="Arial Unicode MS" w:cs="Calibri"/>
          <w:b/>
          <w:bCs/>
          <w:iCs/>
          <w:sz w:val="24"/>
        </w:rPr>
        <w:t xml:space="preserve">θα </w:t>
      </w:r>
      <w:r>
        <w:rPr>
          <w:rFonts w:eastAsia="Arial Unicode MS" w:cs="Calibri"/>
          <w:b/>
          <w:sz w:val="24"/>
        </w:rPr>
        <w:t>βαρύνει τη σχετική πίστωση με Κ.Α.Ε.: 00.10.0845 «Δαπάνες Καθαρισμού γραφείων» του προϋπολογισμού των οικονομικών ετών 2024, 2025, 2026 και 2027 ως ακολούθως</w:t>
      </w:r>
      <w:r>
        <w:rPr>
          <w:rFonts w:eastAsia="Arial Unicode MS" w:cs="Calibri"/>
          <w:sz w:val="24"/>
        </w:rPr>
        <w:t xml:space="preserve"> :</w:t>
      </w:r>
    </w:p>
    <w:p>
      <w:pPr>
        <w:pStyle w:val="Normalwithoutspacing"/>
        <w:spacing w:lineRule="auto" w:line="276" w:before="0" w:after="0"/>
        <w:rPr>
          <w:rFonts w:eastAsia="Arial Unicode MS" w:cs="Calibri"/>
          <w:sz w:val="24"/>
        </w:rPr>
      </w:pPr>
      <w:r>
        <w:rPr>
          <w:rFonts w:eastAsia="Arial Unicode MS" w:cs="Calibri"/>
          <w:sz w:val="24"/>
        </w:rPr>
        <w:t>- δαπάνη ύψους 283.538,40 ευρώ πλέον ΦΠΑ ή 351.587,62 με το ΦΠΑ 24%  για χρονικό διάστημα είκοσι τεσσάρων (24) μηνών από την υπογραφή των συμβάσεων και</w:t>
      </w:r>
    </w:p>
    <w:p>
      <w:pPr>
        <w:pStyle w:val="Normalwithoutspacing"/>
        <w:spacing w:lineRule="auto" w:line="276" w:before="0" w:after="0"/>
        <w:rPr>
          <w:rFonts w:eastAsia="Arial Unicode MS" w:cs="Calibri"/>
          <w:sz w:val="24"/>
        </w:rPr>
      </w:pPr>
      <w:r>
        <w:rPr>
          <w:rFonts w:eastAsia="Arial Unicode MS" w:cs="Calibri"/>
          <w:sz w:val="24"/>
        </w:rPr>
        <w:t>- δαπάνη ύψους 141.769,20 ευρώ πλέον ΦΠΑ ή 175.793,81 με το ΦΠΑ 24% για την παράταση των υπηρεσιών αυτών με τους ίδιους όρους έως δώδεκα (12) επιπλέον μηνών.</w:t>
      </w:r>
    </w:p>
    <w:p>
      <w:pPr>
        <w:pStyle w:val="Normal"/>
        <w:suppressAutoHyphens w:val="false"/>
        <w:spacing w:lineRule="auto" w:line="276" w:before="280" w:after="0"/>
        <w:ind w:left="1174" w:right="0" w:hanging="0"/>
        <w:rPr>
          <w:rFonts w:eastAsia="Arial Unicode MS" w:cs="Calibri"/>
          <w:b/>
          <w:b/>
          <w:bCs/>
          <w:iCs/>
          <w:sz w:val="24"/>
          <w:lang w:val="el-GR"/>
        </w:rPr>
      </w:pPr>
      <w:r>
        <w:rPr>
          <w:rFonts w:eastAsia="Arial Unicode MS" w:cs="Calibri"/>
          <w:b/>
          <w:bCs/>
          <w:iCs/>
          <w:sz w:val="24"/>
          <w:lang w:val="el-GR"/>
        </w:rPr>
      </w:r>
    </w:p>
    <w:p>
      <w:pPr>
        <w:pStyle w:val="Normal"/>
        <w:suppressAutoHyphens w:val="false"/>
        <w:spacing w:lineRule="auto" w:line="276" w:before="280" w:after="0"/>
        <w:ind w:left="1174" w:right="0" w:hanging="0"/>
        <w:rPr>
          <w:rFonts w:eastAsia="Arial Unicode MS" w:cs="Calibri"/>
          <w:b/>
          <w:b/>
          <w:bCs/>
          <w:iCs/>
          <w:sz w:val="24"/>
          <w:lang w:val="el-GR"/>
        </w:rPr>
      </w:pPr>
      <w:r>
        <w:rPr>
          <w:rFonts w:eastAsia="Arial Unicode MS" w:cs="Calibri"/>
          <w:b/>
          <w:bCs/>
          <w:iCs/>
          <w:sz w:val="24"/>
          <w:lang w:val="el-GR"/>
        </w:rPr>
      </w:r>
      <w:r>
        <w:br w:type="page"/>
      </w:r>
    </w:p>
    <w:p>
      <w:pPr>
        <w:pStyle w:val="Normal"/>
        <w:suppressAutoHyphens w:val="false"/>
        <w:spacing w:lineRule="auto" w:line="276" w:before="280" w:after="0"/>
        <w:ind w:left="1174" w:right="0" w:hanging="0"/>
        <w:rPr>
          <w:rFonts w:eastAsia="Arial Unicode MS" w:cs="Calibri"/>
          <w:b/>
          <w:b/>
          <w:bCs/>
          <w:iCs/>
          <w:sz w:val="24"/>
          <w:lang w:val="el-GR"/>
        </w:rPr>
      </w:pPr>
      <w:r>
        <w:drawing>
          <wp:anchor behindDoc="0" distT="0" distB="0" distL="0" distR="0" simplePos="0" locked="0" layoutInCell="1" allowOverlap="1" relativeHeight="7">
            <wp:simplePos x="0" y="0"/>
            <wp:positionH relativeFrom="page">
              <wp:posOffset>729615</wp:posOffset>
            </wp:positionH>
            <wp:positionV relativeFrom="page">
              <wp:posOffset>1052195</wp:posOffset>
            </wp:positionV>
            <wp:extent cx="6189980" cy="3375025"/>
            <wp:effectExtent l="0" t="0" r="0" b="0"/>
            <wp:wrapTopAndBottom/>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
                    <pic:cNvPicPr>
                      <a:picLocks noChangeAspect="1" noChangeArrowheads="1"/>
                    </pic:cNvPicPr>
                  </pic:nvPicPr>
                  <pic:blipFill>
                    <a:blip r:embed="rId7"/>
                    <a:stretch>
                      <a:fillRect/>
                    </a:stretch>
                  </pic:blipFill>
                  <pic:spPr bwMode="auto">
                    <a:xfrm>
                      <a:off x="0" y="0"/>
                      <a:ext cx="6189980" cy="3375025"/>
                    </a:xfrm>
                    <a:prstGeom prst="rect">
                      <a:avLst/>
                    </a:prstGeom>
                    <a:ln w="635">
                      <a:solidFill>
                        <a:srgbClr val="000000"/>
                      </a:solidFill>
                    </a:ln>
                  </pic:spPr>
                </pic:pic>
              </a:graphicData>
            </a:graphic>
          </wp:anchor>
        </w:drawing>
      </w:r>
      <w:r>
        <w:rPr>
          <w:rFonts w:eastAsia="Arial Unicode MS" w:cs="Calibri"/>
          <w:b/>
          <w:bCs/>
          <w:iCs/>
          <w:sz w:val="24"/>
          <w:lang w:val="el-GR"/>
        </w:rPr>
        <w:t>Π</w:t>
      </w:r>
      <w:r>
        <w:rPr>
          <w:rFonts w:eastAsia="Arial Unicode MS" w:cs="Calibri"/>
          <w:b/>
          <w:bCs/>
          <w:iCs/>
          <w:sz w:val="24"/>
          <w:lang w:val="el-GR"/>
        </w:rPr>
        <w:t>ίνακας 1. Ανάλυση προϋπολογισμού κατά έτος και ανά τμήμα και ανά έτος</w:t>
      </w:r>
    </w:p>
    <w:p>
      <w:pPr>
        <w:pStyle w:val="Normal"/>
        <w:suppressAutoHyphens w:val="false"/>
        <w:spacing w:lineRule="auto" w:line="276" w:before="280" w:after="0"/>
        <w:ind w:left="454" w:right="0" w:hanging="0"/>
        <w:rPr>
          <w:rFonts w:ascii="Calibri" w:hAnsi="Calibri" w:eastAsia="Arial Unicode MS" w:cs="Calibri"/>
          <w:b/>
          <w:b/>
          <w:iCs/>
          <w:kern w:val="0"/>
          <w:lang w:bidi="ar-SA"/>
        </w:rPr>
      </w:pPr>
      <w:r>
        <w:rPr>
          <w:rFonts w:eastAsia="Arial Unicode MS" w:cs="Calibri"/>
          <w:b/>
          <w:iCs/>
          <w:kern w:val="0"/>
          <w:lang w:bidi="ar-SA"/>
        </w:rPr>
      </w:r>
    </w:p>
    <w:p>
      <w:pPr>
        <w:pStyle w:val="Standard"/>
        <w:spacing w:lineRule="auto" w:line="276"/>
        <w:jc w:val="both"/>
        <w:rPr/>
      </w:pPr>
      <w:r>
        <w:rPr>
          <w:rFonts w:eastAsia="Arial Unicode MS" w:cs="Calibri" w:ascii="Calibri" w:hAnsi="Calibri"/>
          <w:b w:val="false"/>
          <w:bCs w:val="false"/>
          <w:iCs/>
          <w:kern w:val="0"/>
          <w:lang w:bidi="ar-SA"/>
        </w:rPr>
        <w:t>Για την παρούσα διαδικασία έχει εκδοθεί</w:t>
      </w:r>
      <w:r>
        <w:rPr>
          <w:rFonts w:eastAsia="Arial Unicode MS" w:cs="Calibri" w:ascii="Calibri" w:hAnsi="Calibri"/>
          <w:b/>
          <w:bCs w:val="false"/>
          <w:iCs/>
          <w:kern w:val="0"/>
          <w:lang w:val="en-US" w:bidi="ar-SA"/>
        </w:rPr>
        <w:t xml:space="preserve"> </w:t>
      </w:r>
      <w:r>
        <w:rPr>
          <w:rFonts w:eastAsia="Arial Unicode MS" w:cs="Calibri" w:ascii="Calibri" w:hAnsi="Calibri"/>
          <w:b w:val="false"/>
          <w:bCs w:val="false"/>
          <w:iCs/>
          <w:kern w:val="0"/>
          <w:lang w:val="el-GR" w:bidi="ar-SA"/>
        </w:rPr>
        <w:t xml:space="preserve">η </w:t>
      </w:r>
      <w:r>
        <w:rPr>
          <w:rFonts w:eastAsia="Arial Unicode MS" w:cs="Calibri" w:ascii="Calibri" w:hAnsi="Calibri"/>
          <w:b w:val="false"/>
          <w:bCs w:val="false"/>
          <w:iCs/>
          <w:kern w:val="0"/>
          <w:lang w:bidi="ar-SA"/>
        </w:rPr>
        <w:t>υπ΄ αριθμ. πρωτ.: 56896/09-06-2023 (ΑΔΑ:697Ι46ΜΤΛΚ-ΥΓΥ) Απόφαση του Υπουργού Εργασίας και Κοινωνικών Υποθέσεων περί έγκρισης Ανάληψης πολυετούς υποχρέωσης και η υπ΄ αριθμ. Μ 596/14-6-2023 (ΑΔΑ:ΩΧΘ746ΜΑΠΣ-ΩΚΝ) Απόφαση Ανάληψης Υποχρέωσης της ΠΥΣΥ Θεσσαλίας.</w:t>
      </w:r>
    </w:p>
    <w:p>
      <w:pPr>
        <w:pStyle w:val="Standard"/>
        <w:spacing w:lineRule="auto" w:line="276"/>
        <w:jc w:val="both"/>
        <w:rPr>
          <w:rFonts w:ascii="Calibri" w:hAnsi="Calibri" w:eastAsia="Arial Unicode MS" w:cs="Calibri"/>
          <w:b w:val="false"/>
          <w:b w:val="false"/>
          <w:bCs w:val="false"/>
          <w:iCs/>
          <w:kern w:val="0"/>
          <w:lang w:bidi="ar-SA"/>
        </w:rPr>
      </w:pPr>
      <w:r>
        <w:rPr>
          <w:rFonts w:eastAsia="Arial Unicode MS" w:cs="Calibri" w:ascii="Calibri" w:hAnsi="Calibri"/>
          <w:b w:val="false"/>
          <w:bCs w:val="false"/>
          <w:iCs/>
          <w:kern w:val="0"/>
          <w:lang w:bidi="ar-SA"/>
        </w:rPr>
      </w:r>
    </w:p>
    <w:p>
      <w:pPr>
        <w:pStyle w:val="Standard"/>
        <w:spacing w:lineRule="auto" w:line="276"/>
        <w:jc w:val="both"/>
        <w:rPr>
          <w:rFonts w:ascii="Calibri" w:hAnsi="Calibri" w:eastAsia="Arial Unicode MS" w:cs="Calibri"/>
          <w:b w:val="false"/>
          <w:b w:val="false"/>
          <w:bCs w:val="false"/>
          <w:iCs/>
          <w:kern w:val="0"/>
          <w:lang w:bidi="ar-SA"/>
        </w:rPr>
      </w:pPr>
      <w:r>
        <w:rPr>
          <w:rFonts w:eastAsia="Arial Unicode MS" w:cs="Calibri" w:ascii="Calibri" w:hAnsi="Calibri"/>
          <w:b w:val="false"/>
          <w:bCs w:val="false"/>
          <w:iCs/>
          <w:kern w:val="0"/>
          <w:lang w:bidi="ar-SA"/>
        </w:rPr>
      </w:r>
    </w:p>
    <w:p>
      <w:pPr>
        <w:pStyle w:val="Standard"/>
        <w:spacing w:lineRule="auto" w:line="276"/>
        <w:jc w:val="both"/>
        <w:rPr>
          <w:rFonts w:ascii="Calibri" w:hAnsi="Calibri" w:eastAsia="Arial Unicode MS" w:cs="Calibri"/>
          <w:b w:val="false"/>
          <w:b w:val="false"/>
          <w:bCs w:val="false"/>
          <w:iCs/>
          <w:kern w:val="0"/>
          <w:lang w:bidi="ar-SA"/>
        </w:rPr>
      </w:pPr>
      <w:r>
        <w:rPr>
          <w:rFonts w:eastAsia="Arial Unicode MS" w:cs="Calibri" w:ascii="Calibri" w:hAnsi="Calibri"/>
          <w:b w:val="false"/>
          <w:bCs w:val="false"/>
          <w:iCs/>
          <w:kern w:val="0"/>
          <w:lang w:bidi="ar-SA"/>
        </w:rPr>
      </w:r>
    </w:p>
    <w:p>
      <w:pPr>
        <w:pStyle w:val="Standard"/>
        <w:spacing w:lineRule="auto" w:line="276"/>
        <w:jc w:val="both"/>
        <w:rPr>
          <w:rFonts w:ascii="Calibri" w:hAnsi="Calibri" w:eastAsia="Arial Unicode MS" w:cs="Calibri"/>
          <w:b w:val="false"/>
          <w:b w:val="false"/>
          <w:bCs w:val="false"/>
          <w:iCs/>
          <w:kern w:val="0"/>
          <w:lang w:bidi="ar-SA"/>
        </w:rPr>
      </w:pPr>
      <w:r>
        <w:rPr>
          <w:rFonts w:eastAsia="Arial Unicode MS" w:cs="Calibri" w:ascii="Calibri" w:hAnsi="Calibri"/>
          <w:b w:val="false"/>
          <w:bCs w:val="false"/>
          <w:iCs/>
          <w:kern w:val="0"/>
          <w:lang w:bidi="ar-SA"/>
        </w:rPr>
      </w:r>
    </w:p>
    <w:p>
      <w:pPr>
        <w:pStyle w:val="Standard"/>
        <w:spacing w:lineRule="auto" w:line="276"/>
        <w:jc w:val="both"/>
        <w:rPr>
          <w:rFonts w:ascii="Calibri" w:hAnsi="Calibri" w:eastAsia="Arial Unicode MS" w:cs="Calibri"/>
          <w:sz w:val="24"/>
        </w:rPr>
      </w:pPr>
      <w:r>
        <w:rPr>
          <w:rFonts w:eastAsia="Arial Unicode MS" w:cs="Calibri" w:ascii="Calibri" w:hAnsi="Calibri"/>
          <w:sz w:val="24"/>
        </w:rPr>
      </w:r>
    </w:p>
    <w:p>
      <w:pPr>
        <w:pStyle w:val="2"/>
        <w:spacing w:lineRule="auto" w:line="276" w:before="0" w:after="0"/>
        <w:ind w:left="567" w:right="0" w:hanging="567"/>
        <w:rPr/>
      </w:pPr>
      <w:bookmarkStart w:id="12" w:name="__RefHeading___Toc35539_1890191151"/>
      <w:bookmarkStart w:id="13" w:name="_Toc58242641"/>
      <w:bookmarkStart w:id="14" w:name="_Toc492539438"/>
      <w:bookmarkEnd w:id="12"/>
      <w:r>
        <w:rPr>
          <w:rFonts w:eastAsia="Arial Unicode MS" w:cs="Calibri" w:ascii="Calibri" w:hAnsi="Calibri"/>
          <w:sz w:val="24"/>
          <w:szCs w:val="24"/>
          <w:lang w:val="el-GR"/>
        </w:rPr>
        <w:t>1.3</w:t>
        <w:tab/>
        <w:t>Συνοπτική Περιγραφή φυσικού και οικονομικού αντικειμένου της σύμβασης</w:t>
      </w:r>
      <w:bookmarkEnd w:id="13"/>
      <w:bookmarkEnd w:id="14"/>
      <w:r>
        <w:rPr>
          <w:rFonts w:eastAsia="Arial Unicode MS" w:cs="Calibri" w:ascii="Calibri" w:hAnsi="Calibri"/>
          <w:sz w:val="24"/>
          <w:szCs w:val="24"/>
          <w:lang w:val="el-GR"/>
        </w:rPr>
        <w:t xml:space="preserve"> </w:t>
      </w:r>
    </w:p>
    <w:p>
      <w:pPr>
        <w:pStyle w:val="Normal"/>
        <w:spacing w:lineRule="auto" w:line="276" w:before="0" w:after="0"/>
        <w:rPr>
          <w:rFonts w:eastAsia="Arial Unicode MS" w:cs="Calibri"/>
          <w:sz w:val="24"/>
          <w:lang w:val="el-GR"/>
        </w:rPr>
      </w:pPr>
      <w:r>
        <w:rPr>
          <w:rFonts w:eastAsia="Arial Unicode MS" w:cs="Calibri"/>
          <w:sz w:val="24"/>
          <w:lang w:val="el-GR"/>
        </w:rPr>
      </w:r>
    </w:p>
    <w:p>
      <w:pPr>
        <w:pStyle w:val="Normal"/>
        <w:spacing w:lineRule="auto" w:line="276" w:before="0" w:after="0"/>
        <w:rPr/>
      </w:pPr>
      <w:r>
        <w:rPr>
          <w:rFonts w:eastAsia="Arial Unicode MS" w:cs="Calibri"/>
          <w:sz w:val="24"/>
          <w:lang w:val="el-GR"/>
        </w:rPr>
        <w:t xml:space="preserve">Αντικείμενο της σύμβασης είναι η </w:t>
      </w:r>
      <w:r>
        <w:rPr>
          <w:rFonts w:eastAsia="Arial Unicode MS" w:cs="Calibri"/>
          <w:bCs/>
          <w:kern w:val="2"/>
          <w:sz w:val="24"/>
          <w:lang w:val="el-GR"/>
        </w:rPr>
        <w:t>Παροχή υπηρεσιών καθαριότητας σε κτίρια στα οποία στεγάζονται οι Υπηρεσίες του e-ΕΦΚΑ της Λάρισας, του Βόλου, της Καρδίτσας και των Τρικάλων, αρμοδιότητας της Π.Υ.Σ.Υ. Θεσσαλίας για χρονικό διάστημα είκοσι τεσσάρων (24) μηνών από την υπογραφή των συμβάσεων και με μονομερές δικαίωμα του Φορέα για παράταση των υπηρεσιών μέχρι δώδεκα (12) επιπλέον μηνών με τους ίδιους όρους και κριτήριο κατακύρωσης την πλέον συμφέρουσα από οικονομικής άποψης προσφοράς βάσει τιμής</w:t>
      </w:r>
      <w:r>
        <w:rPr>
          <w:rFonts w:eastAsia="Arial Unicode MS" w:cs="Calibri"/>
          <w:sz w:val="24"/>
          <w:lang w:val="el-GR"/>
        </w:rPr>
        <w:t xml:space="preserve"> για το χρονικό διάστημα των είκοσι τεσσάρων (24) μηνών, σύμφωνα με τις διατάξεις του Ν.4412/16 όπως ισχύει.</w:t>
      </w:r>
    </w:p>
    <w:p>
      <w:pPr>
        <w:pStyle w:val="Normal"/>
        <w:spacing w:lineRule="auto" w:line="276" w:before="0" w:after="0"/>
        <w:rPr>
          <w:rFonts w:eastAsia="Arial Unicode MS" w:cs="Calibri"/>
          <w:bCs/>
          <w:kern w:val="2"/>
          <w:sz w:val="24"/>
          <w:lang w:val="el-GR"/>
        </w:rPr>
      </w:pPr>
      <w:r>
        <w:rPr>
          <w:rFonts w:eastAsia="Arial Unicode MS" w:cs="Calibri"/>
          <w:bCs/>
          <w:kern w:val="2"/>
          <w:sz w:val="24"/>
          <w:lang w:val="el-GR"/>
        </w:rPr>
      </w:r>
    </w:p>
    <w:p>
      <w:pPr>
        <w:pStyle w:val="Normal"/>
        <w:spacing w:lineRule="auto" w:line="276" w:before="0" w:after="0"/>
        <w:rPr/>
      </w:pPr>
      <w:r>
        <w:rPr>
          <w:rFonts w:eastAsia="Arial Unicode MS" w:cs="Calibri"/>
          <w:bCs/>
          <w:kern w:val="2"/>
          <w:sz w:val="24"/>
          <w:lang w:val="el-GR"/>
        </w:rPr>
        <w:t xml:space="preserve">Γενικότερα το αντικείμενο της προμήθειας έχει υποδιαιρεθεί σε </w:t>
      </w:r>
      <w:r>
        <w:rPr>
          <w:rFonts w:eastAsia="Arial Unicode MS" w:cs="Calibri"/>
          <w:b/>
          <w:bCs/>
          <w:kern w:val="2"/>
          <w:sz w:val="24"/>
          <w:u w:val="single"/>
          <w:lang w:val="el-GR"/>
        </w:rPr>
        <w:t>5 τμήματα</w:t>
      </w:r>
      <w:r>
        <w:rPr>
          <w:rFonts w:eastAsia="Arial Unicode MS" w:cs="Calibri"/>
          <w:bCs/>
          <w:kern w:val="2"/>
          <w:sz w:val="24"/>
          <w:u w:val="single"/>
          <w:lang w:val="el-GR"/>
        </w:rPr>
        <w:t>, ως ο κάτωθι πίνακας:</w:t>
      </w:r>
    </w:p>
    <w:p>
      <w:pPr>
        <w:pStyle w:val="Normal"/>
        <w:spacing w:lineRule="auto" w:line="276" w:before="0" w:after="0"/>
        <w:rPr>
          <w:rFonts w:eastAsia="Arial Unicode MS" w:cs="Calibri"/>
          <w:bCs/>
          <w:kern w:val="2"/>
          <w:u w:val="single"/>
          <w:lang w:val="el-GR"/>
        </w:rPr>
      </w:pPr>
      <w:r>
        <w:rPr>
          <w:rFonts w:eastAsia="Arial Unicode MS" w:cs="Calibri"/>
          <w:bCs/>
          <w:kern w:val="2"/>
          <w:u w:val="single"/>
          <w:lang w:val="el-GR"/>
        </w:rPr>
        <w:drawing>
          <wp:anchor behindDoc="0" distT="0" distB="0" distL="0" distR="0" simplePos="0" locked="0" layoutInCell="1" allowOverlap="1" relativeHeight="4">
            <wp:simplePos x="0" y="0"/>
            <wp:positionH relativeFrom="column">
              <wp:posOffset>-263525</wp:posOffset>
            </wp:positionH>
            <wp:positionV relativeFrom="paragraph">
              <wp:posOffset>147320</wp:posOffset>
            </wp:positionV>
            <wp:extent cx="6557645" cy="9941560"/>
            <wp:effectExtent l="0" t="0" r="0" b="0"/>
            <wp:wrapTopAndBottom/>
            <wp:docPr id="3" name="Αντικείμενο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Αντικείμενο5" descr=""/>
                    <pic:cNvPicPr>
                      <a:picLocks noChangeAspect="1" noChangeArrowheads="1"/>
                    </pic:cNvPicPr>
                  </pic:nvPicPr>
                  <pic:blipFill>
                    <a:blip r:embed="rId8"/>
                    <a:stretch>
                      <a:fillRect/>
                    </a:stretch>
                  </pic:blipFill>
                  <pic:spPr bwMode="auto">
                    <a:xfrm>
                      <a:off x="0" y="0"/>
                      <a:ext cx="6557645" cy="9941560"/>
                    </a:xfrm>
                    <a:prstGeom prst="rect">
                      <a:avLst/>
                    </a:prstGeom>
                  </pic:spPr>
                </pic:pic>
              </a:graphicData>
            </a:graphic>
          </wp:anchor>
        </w:drawing>
      </w:r>
    </w:p>
    <w:p>
      <w:pPr>
        <w:pStyle w:val="Normal"/>
        <w:spacing w:lineRule="auto" w:line="276" w:before="0" w:after="0"/>
        <w:rPr/>
      </w:pPr>
      <w: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14605" cy="14605"/>
            <wp:effectExtent l="0" t="0" r="0" b="0"/>
            <wp:wrapTopAndBottom/>
            <wp:docPr id="4" name="Αντικείμενο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Αντικείμενο1" descr=""/>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anchor>
        </w:drawing>
      </w:r>
      <w:r>
        <w:rPr>
          <w:rFonts w:eastAsia="Arial Unicode MS" w:cs="Calibri"/>
          <w:b/>
          <w:bCs/>
          <w:kern w:val="2"/>
          <w:sz w:val="24"/>
          <w:u w:val="single"/>
          <w:lang w:val="el-GR"/>
        </w:rPr>
        <w:t>Ε</w:t>
      </w:r>
      <w:r>
        <w:rPr>
          <w:rFonts w:eastAsia="Arial Unicode MS" w:cs="Calibri"/>
          <w:b/>
          <w:bCs/>
          <w:kern w:val="2"/>
          <w:sz w:val="24"/>
          <w:u w:val="single"/>
          <w:lang w:val="el-GR"/>
        </w:rPr>
        <w:t>ιδικά το Τμήμα 5</w:t>
      </w:r>
      <w:r>
        <w:rPr>
          <w:rFonts w:eastAsia="Arial Unicode MS" w:cs="Calibri"/>
          <w:bCs/>
          <w:kern w:val="2"/>
          <w:sz w:val="24"/>
          <w:lang w:val="el-GR"/>
        </w:rPr>
        <w:t xml:space="preserve"> που αφορά την παροχή υπηρεσιών καθαριότητας στα κτίρια που στεγάζουν τις Υπηρεσίες του e-ΕΦΚΑ των νησιών Σκιάθου και Σκοπέλου, ήτοι των Αποκεντρωμένων Τμημάτων Α΄ Κοινωνικής Ασφάλισης Σκιάθου και Β΄ Κοινωνικής Ασφάλισης Σκοπέλου της Τοπικής Διεύθυνσης Β΄ Μαγνησίας, αρμοδιότητας της Π.Υ.Σ.Υ. Θεσσαλίας </w:t>
      </w:r>
      <w:r>
        <w:rPr>
          <w:rFonts w:eastAsia="Arial Unicode MS" w:cs="Calibri"/>
          <w:b/>
          <w:bCs/>
          <w:kern w:val="2"/>
          <w:sz w:val="24"/>
          <w:lang w:val="el-GR"/>
        </w:rPr>
        <w:t>έχει ανατεθεί με προσφυγή στη διαδικασία της απευθείας ανάθεσης του άρθρου 118 του Ν. 4412/2016,</w:t>
      </w:r>
      <w:r>
        <w:rPr>
          <w:rFonts w:eastAsia="Arial Unicode MS" w:cs="Calibri"/>
          <w:bCs/>
          <w:kern w:val="2"/>
          <w:sz w:val="24"/>
          <w:lang w:val="el-GR"/>
        </w:rPr>
        <w:t xml:space="preserve"> ως ισχύει, χρονικής διάρκειας τριάντα τεσσάρων (34) μηνών και με μονομερές δικαίωμα του Φορέα για παράταση των υπηρεσιών μέχρι δώδεκα (12) επιπλέον μηνών με τους ίδιους όρους, σύμφωνα με την παρέκκλιση του άρθρου 6 παρ. 10 του Ν. 4412/2016, με κριτήριο την πλέον συμφέρουσα από οικονομική άποψη προσφορά βάσει τιμής, προϋπολογισθείσας δαπάνης #28.336,00€# πλέον ΦΠΑ ή #35.136,64€# συμπ/νου του ΦΠΑ, η οποία δεν υπερβαίνει το 20% της συνολικής δαπάνης #453.643,60€# πλέον ΦΠΑ, είναι μικρότερη από 80.000 ευρώ, συνεπώς πληρούνται οι προϋποθέσεις του άρθρου 6, παρ. 10 του Ν. 4412/2016 κι επίσης δεν ξεπερνάει τις 30.000€ για την προσφυγή στη διαδικασία της απευθείας ανάθεσης του άρθρου 118 του Ν. 4412/2016, ως ισχύει. </w:t>
      </w:r>
    </w:p>
    <w:p>
      <w:pPr>
        <w:pStyle w:val="Normal"/>
        <w:spacing w:lineRule="auto" w:line="276" w:before="0" w:after="0"/>
        <w:rPr>
          <w:sz w:val="24"/>
          <w:lang w:val="en-US"/>
        </w:rPr>
      </w:pPr>
      <w:r>
        <w:rPr>
          <w:sz w:val="24"/>
          <w:lang w:val="en-US"/>
        </w:rPr>
      </w:r>
    </w:p>
    <w:p>
      <w:pPr>
        <w:pStyle w:val="Normal"/>
        <w:spacing w:lineRule="auto" w:line="276" w:before="0" w:after="0"/>
        <w:rPr>
          <w:u w:val="single"/>
        </w:rPr>
      </w:pPr>
      <w:r>
        <w:rPr>
          <w:rFonts w:eastAsia="Arial Unicode MS" w:cs="Calibri"/>
          <w:b/>
          <w:bCs/>
          <w:kern w:val="2"/>
          <w:sz w:val="24"/>
          <w:u w:val="single"/>
          <w:lang w:val="en-US"/>
        </w:rPr>
        <w:t>T</w:t>
      </w:r>
      <w:r>
        <w:rPr>
          <w:rFonts w:eastAsia="Arial Unicode MS" w:cs="Calibri"/>
          <w:b/>
          <w:bCs/>
          <w:kern w:val="2"/>
          <w:sz w:val="24"/>
          <w:u w:val="single"/>
          <w:lang w:val="el-GR"/>
        </w:rPr>
        <w:t>ο αντικείμενο της προμήθειας</w:t>
      </w:r>
      <w:r>
        <w:rPr>
          <w:rFonts w:eastAsia="Arial Unicode MS" w:cs="Calibri"/>
          <w:b/>
          <w:bCs/>
          <w:kern w:val="2"/>
          <w:sz w:val="24"/>
          <w:u w:val="single"/>
          <w:lang w:val="en-US"/>
        </w:rPr>
        <w:t xml:space="preserve"> τ</w:t>
      </w:r>
      <w:r>
        <w:rPr>
          <w:rFonts w:eastAsia="Arial Unicode MS" w:cs="Calibri"/>
          <w:b/>
          <w:bCs/>
          <w:kern w:val="2"/>
          <w:sz w:val="24"/>
          <w:u w:val="single"/>
          <w:lang w:val="el-GR"/>
        </w:rPr>
        <w:t>ης εν λόγω σύμβασης της παρούσας διακ’ηρυξης υποδιαιρείται σε 4 τμήματα, ως ο κάτωθι πίνακας:</w:t>
      </w:r>
    </w:p>
    <w:p>
      <w:pPr>
        <w:pStyle w:val="Normal"/>
        <w:spacing w:lineRule="auto" w:line="276" w:before="0" w:after="0"/>
        <w:rPr>
          <w:rFonts w:eastAsia="Arial Unicode MS" w:cs="Calibri"/>
          <w:b/>
          <w:b/>
          <w:bCs/>
          <w:kern w:val="2"/>
          <w:sz w:val="24"/>
          <w:u w:val="single"/>
          <w:lang w:val="el-GR"/>
        </w:rPr>
      </w:pPr>
      <w:r>
        <w:rPr>
          <w:rFonts w:eastAsia="Arial Unicode MS" w:cs="Calibri"/>
          <w:b/>
          <w:bCs/>
          <w:kern w:val="2"/>
          <w:sz w:val="24"/>
          <w:u w:val="single"/>
          <w:lang w:val="el-GR"/>
        </w:rPr>
      </w:r>
    </w:p>
    <w:p>
      <w:pPr>
        <w:pStyle w:val="Normal"/>
        <w:spacing w:lineRule="auto" w:line="276" w:before="0" w:after="0"/>
        <w:rPr/>
      </w:pPr>
      <w:r>
        <w:rPr/>
        <w:object w:dxaOrig="11521" w:dyaOrig="12288">
          <v:shape id="ole_rId10" style="width:531.5pt;height:595.25pt" o:ole="">
            <v:imagedata r:id="rId11" o:title=""/>
          </v:shape>
          <o:OLEObject Type="Embed" ProgID="Excel.Sheet.12" ShapeID="ole_rId10" DrawAspect="Content" ObjectID="_1241126307" r:id="rId10"/>
        </w:object>
      </w:r>
    </w:p>
    <w:p>
      <w:pPr>
        <w:pStyle w:val="Normal"/>
        <w:spacing w:lineRule="auto" w:line="276" w:before="0" w:after="0"/>
        <w:rPr/>
      </w:pPr>
      <w:r>
        <w:rPr>
          <w:rFonts w:eastAsia="Arial Unicode MS" w:cs="Calibri"/>
          <w:sz w:val="24"/>
          <w:lang w:val="el-GR"/>
        </w:rPr>
        <w:t xml:space="preserve">Αναλυτικά τα κτίρια (Ταχ. Δ/νση –τετραγωνικά – απαιτούμενες ώρες καθαρισμού, κλπ) που περιλαμβάνονται σε κάθε τμήμα παρατίθενται στο </w:t>
      </w:r>
      <w:r>
        <w:rPr>
          <w:rFonts w:eastAsia="Arial Unicode MS" w:cs="Calibri"/>
          <w:b/>
          <w:sz w:val="24"/>
          <w:lang w:val="el-GR"/>
        </w:rPr>
        <w:t>Παράρτημα ΙΙ</w:t>
      </w:r>
      <w:r>
        <w:rPr>
          <w:rFonts w:eastAsia="Arial Unicode MS" w:cs="Calibri"/>
          <w:sz w:val="24"/>
          <w:lang w:val="el-GR"/>
        </w:rPr>
        <w:t xml:space="preserve">  της παρούσης διακήρυξης.</w:t>
      </w:r>
    </w:p>
    <w:p>
      <w:pPr>
        <w:pStyle w:val="Normal"/>
        <w:spacing w:lineRule="auto" w:line="276" w:before="0" w:after="0"/>
        <w:rPr>
          <w:rFonts w:eastAsia="Arial Unicode MS" w:cs="Calibri"/>
          <w:sz w:val="24"/>
          <w:lang w:val="el-GR"/>
        </w:rPr>
      </w:pPr>
      <w:r>
        <w:rPr>
          <w:rFonts w:eastAsia="Arial Unicode MS" w:cs="Calibri"/>
          <w:sz w:val="24"/>
          <w:lang w:val="el-GR"/>
        </w:rPr>
      </w:r>
    </w:p>
    <w:p>
      <w:pPr>
        <w:pStyle w:val="Normal"/>
        <w:spacing w:lineRule="auto" w:line="276" w:before="0" w:after="0"/>
        <w:rPr>
          <w:rFonts w:eastAsia="Arial Unicode MS" w:cs="Calibri"/>
          <w:b/>
          <w:b/>
          <w:sz w:val="24"/>
          <w:lang w:val="el-GR"/>
        </w:rPr>
      </w:pPr>
      <w:r>
        <w:rPr>
          <w:rFonts w:eastAsia="Arial Unicode MS" w:cs="Calibri"/>
          <w:b/>
          <w:sz w:val="24"/>
          <w:lang w:val="el-GR"/>
        </w:rPr>
        <w:t xml:space="preserve">Επισημαίνεται ότι η συχνότητα καθαρισμού καθορίσθηκε για τους κύριους χώρους σε καθημερινή βάση (από Δευτέρα έως και Παρασκευή πλην επίσημων αργιών και εορτών) και για τους βοηθητικούς χώρους (υπόγεια, αρχεία κλπ.) σε μία φορά το μήνα. </w:t>
      </w:r>
    </w:p>
    <w:p>
      <w:pPr>
        <w:pStyle w:val="Normal"/>
        <w:spacing w:lineRule="auto" w:line="276" w:before="0" w:after="0"/>
        <w:rPr/>
      </w:pPr>
      <w:r>
        <w:rPr>
          <w:rFonts w:eastAsia="Arial Unicode MS" w:cs="Calibri"/>
          <w:sz w:val="24"/>
          <w:lang w:val="el-GR"/>
        </w:rPr>
        <w:t>Οι Οικονομικοί Φορείς δύνανται να επισκεφθούν τους χώρους προς καθαριότητα, ώστε να ελέγξουν τις εγκαταστάσεις και να βεβαιωθούν ότι πληρούν όλες τις προϋποθέσεις για την απρόσκοπτη και ασφαλή εργασία του προσωπικού τους, σε περίπτωση δε ατυχήματος, θα είναι οι μόνοι υπεύθυνοι, καθώς και για να διαπιστώσουν το συνολικό εμβαδόν αυτών και να υπολογίσουν τις ανάγκες σε υπαλληλικό προσωπικό. Τυχόν αποκλίσεις των πραγματικών εμβαδών από τις προσδιορισθείσες τιμές, δεν συνεπάγεται επαύξηση του αντικειμένου της εργολαβίας και συνεπώς ούτε της αμοιβής</w:t>
      </w:r>
    </w:p>
    <w:p>
      <w:pPr>
        <w:pStyle w:val="Normal"/>
        <w:spacing w:lineRule="auto" w:line="276" w:before="0" w:after="0"/>
        <w:rPr>
          <w:rFonts w:ascii="Calibri" w:hAnsi="Calibri" w:eastAsia="Arial Unicode MS" w:cs="Calibri"/>
          <w:sz w:val="24"/>
          <w:lang w:val="el-GR"/>
        </w:rPr>
      </w:pPr>
      <w:r>
        <w:rPr>
          <w:rFonts w:eastAsia="Arial Unicode MS" w:cs="Calibri"/>
          <w:sz w:val="24"/>
          <w:lang w:val="el-GR"/>
        </w:rPr>
      </w:r>
    </w:p>
    <w:p>
      <w:pPr>
        <w:pStyle w:val="Normal"/>
        <w:shd w:val="clear" w:color="auto" w:fill="BFBFBF"/>
        <w:spacing w:lineRule="auto" w:line="276"/>
        <w:rPr/>
      </w:pPr>
      <w:r>
        <w:rPr>
          <w:rFonts w:eastAsia="Arial Unicode MS" w:cs="Calibri"/>
          <w:b/>
          <w:sz w:val="24"/>
          <w:lang w:val="el-GR"/>
        </w:rPr>
        <w:t xml:space="preserve">Προσφορές υποβάλλονται για ένα, για περισσότερα, ή, για όλα τα τμήματα. </w:t>
      </w:r>
      <w:r>
        <w:rPr>
          <w:rFonts w:eastAsia="Arial Unicode MS" w:cs="Calibri"/>
          <w:sz w:val="24"/>
          <w:lang w:val="el-GR"/>
        </w:rPr>
        <w:t>Ο μέγιστος αριθμός ΤΜΗΜΑΤΩΝ που μπορεί να ανατεθεί σε έναν προσφέροντα ορίζεται σε τέσσερα (4).</w:t>
      </w:r>
    </w:p>
    <w:p>
      <w:pPr>
        <w:pStyle w:val="Normal"/>
        <w:shd w:val="clear" w:color="auto" w:fill="BFBFBF"/>
        <w:spacing w:lineRule="auto" w:line="276"/>
        <w:rPr>
          <w:rFonts w:eastAsia="Arial Unicode MS" w:cs="Calibri"/>
          <w:sz w:val="24"/>
          <w:lang w:val="el-GR"/>
        </w:rPr>
      </w:pPr>
      <w:r>
        <w:rPr>
          <w:rFonts w:eastAsia="Arial Unicode MS" w:cs="Calibri"/>
          <w:sz w:val="24"/>
          <w:lang w:val="el-GR"/>
        </w:rPr>
        <w:t>Οι προσφορές που θα υποβληθούν θα αφορούν στο σύνολο των ζητούμενων υπηρεσιών ανά Τμήμα, σύμφωνα με τις τεχνικές προδιαγραφές του ΠΑΡΑΡΤΗΜΑΤΟΣ II της παρούσης. Προσφορά που δεν καλύπτει το σύνολο των ζητούμενων υπηρεσιών –κτιρίων ανά Τμήμα, θα απορρίπτεται ως απαράδεκτη.</w:t>
      </w:r>
    </w:p>
    <w:p>
      <w:pPr>
        <w:pStyle w:val="Standard"/>
        <w:overflowPunct w:val="true"/>
        <w:spacing w:lineRule="auto" w:line="276"/>
        <w:jc w:val="both"/>
        <w:rPr>
          <w:rFonts w:ascii="Calibri" w:hAnsi="Calibri" w:eastAsia="Arial Unicode MS" w:cs="Calibri"/>
        </w:rPr>
      </w:pPr>
      <w:r>
        <w:rPr>
          <w:rFonts w:eastAsia="Arial Unicode MS" w:cs="Calibri" w:ascii="Calibri" w:hAnsi="Calibri"/>
        </w:rPr>
      </w:r>
    </w:p>
    <w:p>
      <w:pPr>
        <w:pStyle w:val="Standard"/>
        <w:overflowPunct w:val="true"/>
        <w:spacing w:lineRule="auto" w:line="276"/>
        <w:rPr>
          <w:rFonts w:ascii="Calibri" w:hAnsi="Calibri" w:eastAsia="Arial Unicode MS" w:cs="Calibri"/>
        </w:rPr>
      </w:pPr>
      <w:r>
        <w:rPr>
          <w:rFonts w:eastAsia="Arial Unicode MS" w:cs="Calibri" w:ascii="Calibri" w:hAnsi="Calibri"/>
        </w:rPr>
        <w:t>Η διάρκεια της σύμβασης ορίζεται σε είκοσι τέσσερις (24) μήνες, αρχής γενομένης από την υπογραφή των συμβάσεων και όχι πριν την 01/04/2024, με μονομερές δικαίωμα του e-ΕΦΚΑ για παράταση των υπηρεσιών μέχρι δώδεκα (12) επιπλέον μήνες με τους ίδιους όρους.</w:t>
      </w:r>
    </w:p>
    <w:p>
      <w:pPr>
        <w:pStyle w:val="Standard"/>
        <w:overflowPunct w:val="true"/>
        <w:spacing w:lineRule="auto" w:line="276"/>
        <w:jc w:val="both"/>
        <w:rPr/>
      </w:pPr>
      <w:r>
        <w:rPr>
          <w:rFonts w:eastAsia="Times New Roman" w:cs="Calibri" w:ascii="Calibri" w:hAnsi="Calibri"/>
          <w:color w:val="000000"/>
          <w:lang w:eastAsia="el-GR"/>
        </w:rPr>
        <w:t>Η Περιφερειακή Υπηρεσία Συντονισμού και Υποστήριξης (Π.Υ.Σ.Υ.) Θεσσαλίας διατηρεί</w:t>
      </w:r>
      <w:r>
        <w:rPr>
          <w:rFonts w:eastAsia="Times New Roman" w:cs="Calibri" w:ascii="Calibri" w:hAnsi="Calibri"/>
          <w:lang w:eastAsia="el-GR"/>
        </w:rPr>
        <w:t xml:space="preserve"> </w:t>
      </w:r>
      <w:r>
        <w:rPr>
          <w:rFonts w:eastAsia="Times New Roman" w:cs="Calibri" w:ascii="Calibri" w:hAnsi="Calibri"/>
          <w:color w:val="000000"/>
          <w:lang w:eastAsia="el-GR"/>
        </w:rPr>
        <w:t>το δικαίωμα να παρατείνει τη διάρκεια της σύμβασης, με μονομερή δήλωσή της, που ασκείται πριν από τη λήξη αυτής</w:t>
      </w:r>
      <w:r>
        <w:rPr>
          <w:rFonts w:eastAsia="Times New Roman" w:cs="Calibri" w:ascii="Calibri" w:hAnsi="Calibri"/>
          <w:lang w:eastAsia="el-GR"/>
        </w:rPr>
        <w:t xml:space="preserve">, για χρονικό διάστημα μέχρι δώδεκα </w:t>
      </w:r>
      <w:r>
        <w:rPr>
          <w:rFonts w:eastAsia="Times New Roman" w:cs="Calibri" w:ascii="Calibri" w:hAnsi="Calibri"/>
          <w:b w:val="false"/>
          <w:bCs w:val="false"/>
          <w:lang w:eastAsia="el-GR"/>
        </w:rPr>
        <w:t>(12) επιπλέον μήνες</w:t>
      </w:r>
      <w:r>
        <w:rPr>
          <w:rFonts w:eastAsia="Times New Roman" w:cs="Calibri" w:ascii="Calibri" w:hAnsi="Calibri"/>
          <w:b w:val="false"/>
          <w:bCs w:val="false"/>
          <w:color w:val="000000"/>
          <w:lang w:eastAsia="el-GR"/>
        </w:rPr>
        <w:t xml:space="preserve">, </w:t>
      </w:r>
      <w:r>
        <w:rPr>
          <w:rFonts w:eastAsia="Times New Roman" w:cs="Calibri" w:ascii="Calibri" w:hAnsi="Calibri"/>
          <w:color w:val="000000"/>
          <w:lang w:eastAsia="el-GR"/>
        </w:rPr>
        <w:t>με έναρξη την επομένη της ημερομηνίας λήξης, με τους ίδιους όρους της αρχικής σύμβασης.</w:t>
      </w:r>
    </w:p>
    <w:p>
      <w:pPr>
        <w:pStyle w:val="Normal"/>
        <w:spacing w:lineRule="auto" w:line="276" w:before="0" w:after="0"/>
        <w:rPr>
          <w:rFonts w:eastAsia="Arial Unicode MS" w:cs="Calibri"/>
          <w:sz w:val="24"/>
          <w:lang w:val="el-GR"/>
        </w:rPr>
      </w:pPr>
      <w:r>
        <w:rPr>
          <w:rFonts w:eastAsia="Arial Unicode MS" w:cs="Calibri"/>
          <w:sz w:val="24"/>
          <w:lang w:val="el-GR"/>
        </w:rPr>
        <w:t>Οι παρεχόμενες υπηρεσίες κατατάσσονται στον ακόλουθο κωδικό του Κοινού Λεξιλογίου δημοσίων συμβάσεων (CPV): 90919200-4: Υπηρεσίες καθαρισμού Γραφείων</w:t>
      </w:r>
    </w:p>
    <w:p>
      <w:pPr>
        <w:pStyle w:val="Normal"/>
        <w:spacing w:lineRule="auto" w:line="276" w:before="0" w:after="0"/>
        <w:rPr/>
      </w:pPr>
      <w:r>
        <w:rPr>
          <w:rFonts w:eastAsia="Arial Unicode MS" w:cs="Calibri"/>
          <w:sz w:val="24"/>
          <w:lang w:val="el-GR"/>
        </w:rPr>
        <w:t xml:space="preserve">Αναλυτική περιγραφή του φυσικού και οικονομικού αντικειμένου της σύμβασης δίδεται στο </w:t>
      </w:r>
      <w:r>
        <w:rPr>
          <w:rFonts w:eastAsia="Arial Unicode MS" w:cs="Calibri"/>
          <w:b/>
          <w:sz w:val="24"/>
          <w:lang w:val="el-GR"/>
        </w:rPr>
        <w:t xml:space="preserve">ΠΑΡΑΡΤΗΜΑ </w:t>
      </w:r>
      <w:r>
        <w:rPr>
          <w:rFonts w:eastAsia="Arial Unicode MS" w:cs="Calibri"/>
          <w:b/>
          <w:sz w:val="24"/>
          <w:lang w:val="en-US"/>
        </w:rPr>
        <w:t>II</w:t>
      </w:r>
      <w:r>
        <w:rPr>
          <w:rFonts w:eastAsia="Arial Unicode MS" w:cs="Calibri"/>
          <w:sz w:val="24"/>
          <w:lang w:val="el-GR"/>
        </w:rPr>
        <w:t xml:space="preserve"> της παρούσας διακήρυξης. </w:t>
      </w:r>
    </w:p>
    <w:p>
      <w:pPr>
        <w:pStyle w:val="Normalwithoutspacing"/>
        <w:spacing w:lineRule="auto" w:line="276" w:before="0" w:after="0"/>
        <w:rPr/>
      </w:pPr>
      <w:r>
        <w:rPr>
          <w:rFonts w:eastAsia="Arial Unicode MS" w:cs="Calibri"/>
          <w:sz w:val="24"/>
        </w:rPr>
        <w:t xml:space="preserve">Η σύμβαση θα ανατεθεί με το κριτήριο της πλέον συμφέρουσας από οικονομικής άποψης προσφοράς </w:t>
      </w:r>
      <w:r>
        <w:rPr>
          <w:rFonts w:eastAsia="Arial Unicode MS" w:cs="Calibri"/>
          <w:b/>
          <w:sz w:val="24"/>
        </w:rPr>
        <w:t xml:space="preserve">βάσει της συνολικής τιμής ανά τμήμα για το χρονικό διάστημα των είκοσι τεσσάρων (24) μηνών, </w:t>
      </w:r>
      <w:r>
        <w:rPr>
          <w:rFonts w:eastAsia="Arial Unicode MS" w:cs="Calibri"/>
          <w:sz w:val="24"/>
        </w:rPr>
        <w:t xml:space="preserve">σύμφωνα με τις διατάξεις του Ν.4412/16. </w:t>
      </w:r>
    </w:p>
    <w:p>
      <w:pPr>
        <w:pStyle w:val="Normalwithoutspacing"/>
        <w:spacing w:lineRule="auto" w:line="276" w:before="0" w:after="0"/>
        <w:rPr>
          <w:rFonts w:ascii="Calibri" w:hAnsi="Calibri" w:eastAsia="Arial Unicode MS" w:cs="Calibri"/>
          <w:sz w:val="24"/>
        </w:rPr>
      </w:pPr>
      <w:r>
        <w:rPr>
          <w:rFonts w:eastAsia="Arial Unicode MS" w:cs="Calibri"/>
          <w:sz w:val="24"/>
        </w:rPr>
      </w:r>
    </w:p>
    <w:p>
      <w:pPr>
        <w:pStyle w:val="2"/>
        <w:spacing w:lineRule="auto" w:line="276" w:before="0" w:after="0"/>
        <w:ind w:left="567" w:right="0" w:hanging="567"/>
        <w:rPr/>
      </w:pPr>
      <w:bookmarkStart w:id="15" w:name="__RefHeading___Toc35541_1890191151"/>
      <w:bookmarkStart w:id="16" w:name="_Toc58242642"/>
      <w:bookmarkStart w:id="17" w:name="_Toc492539439"/>
      <w:bookmarkEnd w:id="15"/>
      <w:r>
        <w:rPr>
          <w:rFonts w:eastAsia="Arial Unicode MS" w:cs="Calibri" w:ascii="Calibri" w:hAnsi="Calibri"/>
          <w:sz w:val="24"/>
          <w:szCs w:val="24"/>
          <w:lang w:val="el-GR"/>
        </w:rPr>
        <w:t>1.4</w:t>
        <w:tab/>
        <w:t>Θεσμικό πλαίσιο</w:t>
      </w:r>
      <w:bookmarkEnd w:id="16"/>
      <w:bookmarkEnd w:id="17"/>
      <w:r>
        <w:rPr>
          <w:rFonts w:eastAsia="Arial Unicode MS" w:cs="Calibri" w:ascii="Calibri" w:hAnsi="Calibri"/>
          <w:sz w:val="24"/>
          <w:szCs w:val="24"/>
          <w:lang w:val="el-GR"/>
        </w:rPr>
        <w:t xml:space="preserve"> </w:t>
      </w:r>
    </w:p>
    <w:p>
      <w:pPr>
        <w:pStyle w:val="Normalwithoutspacing"/>
        <w:spacing w:lineRule="auto" w:line="276" w:before="0" w:after="0"/>
        <w:rPr>
          <w:rFonts w:eastAsia="Arial Unicode MS" w:cs="Calibri"/>
          <w:sz w:val="24"/>
        </w:rPr>
      </w:pPr>
      <w:r>
        <w:rPr>
          <w:rFonts w:eastAsia="Arial Unicode MS" w:cs="Calibri"/>
          <w:sz w:val="24"/>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 από τις διατάξεις: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Ν.4670/2020</w:t>
      </w:r>
      <w:r>
        <w:rPr>
          <w:rFonts w:eastAsia="Arial Unicode MS" w:cs="Calibri"/>
          <w:bCs/>
          <w:sz w:val="24"/>
        </w:rPr>
        <w:t xml:space="preserve"> (Α΄ 43) «Ασφαλιστική μεταρρύθμιση και ψηφιακός μετασχηματισμός Εθνικού Φορέα Κοινωνικής Ασφάλισης (e-Ε.Φ.Κ.Α.) και άλλες διατάξεις».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Ν.4387/2016</w:t>
      </w:r>
      <w:r>
        <w:rPr>
          <w:rFonts w:eastAsia="Arial Unicode MS" w:cs="Calibri"/>
          <w:bCs/>
          <w:sz w:val="24"/>
        </w:rPr>
        <w:t xml:space="preserve"> (Αρ.Φύλ.85, Τεύχος Α’, Μέρος Α’) «Ενιαίο Σύστημα Κοινωνικής Ασφάλειας – Μεταρρύθμιση ασφαλιστικού - συνταξιοδοτικού συστήματος – Ρυθμίσεις φορολογίας εισοδήματος και τυχερών παιγνίων και άλλες διατάξεις».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Ν.4445/2016</w:t>
      </w:r>
      <w:r>
        <w:rPr>
          <w:rFonts w:eastAsia="Arial Unicode MS" w:cs="Calibri"/>
          <w:bCs/>
          <w:sz w:val="24"/>
        </w:rPr>
        <w:t xml:space="preserve">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εφαρμοστικές διατάξεις του ν. 4387/2016 (Α΄ 85) και άλλες διατάξεις».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Ν.4892/2022</w:t>
      </w:r>
      <w:r>
        <w:rPr>
          <w:rFonts w:eastAsia="Arial Unicode MS" w:cs="Calibri"/>
          <w:bCs/>
          <w:sz w:val="24"/>
        </w:rPr>
        <w:t xml:space="preserve"> (Α’ 28) «Εκσυγχρονισμός του Ηλεκτρονικού Εθνικού Φορέα Κοινωνικής Ασφάλισης και άλλες επείγουσες διατάξεις».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Π.Δ. 8/2019</w:t>
      </w:r>
      <w:r>
        <w:rPr>
          <w:rFonts w:eastAsia="Arial Unicode MS" w:cs="Calibri"/>
          <w:bCs/>
          <w:sz w:val="24"/>
        </w:rPr>
        <w:t xml:space="preserve"> ΕΦΚΑ (ΦΕΚ 8/23-1-19) Οργανισμός Ενιαίου Φορέα Κοινωνικής Ασφάλισης (Ε.Φ.Κ.Α.) όπως ισχύει.</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της υπ’ αρ.πρωτ. </w:t>
      </w:r>
      <w:r>
        <w:rPr>
          <w:rFonts w:eastAsia="Arial Unicode MS" w:cs="Calibri"/>
          <w:b/>
          <w:bCs/>
          <w:sz w:val="24"/>
        </w:rPr>
        <w:t>Φ.ΕΦΚΑ/οικ.22424/861/18-05-2017</w:t>
      </w:r>
      <w:r>
        <w:rPr>
          <w:rFonts w:eastAsia="Arial Unicode MS" w:cs="Calibri"/>
          <w:bCs/>
          <w:sz w:val="24"/>
        </w:rPr>
        <w:t xml:space="preserve"> (ΦΕΚ 1720/Β/17) Απόφασης της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υπουργικές αποφάσεις με </w:t>
      </w:r>
      <w:r>
        <w:rPr>
          <w:rFonts w:eastAsia="Arial Unicode MS" w:cs="Calibri"/>
          <w:b/>
          <w:bCs/>
          <w:sz w:val="24"/>
        </w:rPr>
        <w:t>αριθ. 73705/02.08.2022 (Υ.Ο.Δ.Δ. 689),</w:t>
      </w:r>
      <w:r>
        <w:rPr>
          <w:rFonts w:eastAsia="Arial Unicode MS" w:cs="Calibri"/>
          <w:bCs/>
          <w:sz w:val="24"/>
        </w:rPr>
        <w:t xml:space="preserve"> «Διορισμός Υποδιοικητή, ορισμός σειράς αναπλήρωσης Διοικητή και διορισμός τακτικού μέλους στο Διοικητικό Συμβούλιο στον Ηλεκτρονικό Εθνικό Φορέα Κοινωνικής Ασφάλισης (</w:t>
      </w:r>
      <w:r>
        <w:rPr>
          <w:rFonts w:eastAsia="Arial Unicode MS" w:cs="Calibri"/>
          <w:bCs/>
          <w:sz w:val="24"/>
          <w:lang w:val="en-US"/>
        </w:rPr>
        <w:t>e</w:t>
      </w:r>
      <w:r>
        <w:rPr>
          <w:rFonts w:eastAsia="Arial Unicode MS" w:cs="Calibri"/>
          <w:bCs/>
          <w:sz w:val="24"/>
        </w:rPr>
        <w:t xml:space="preserve">-ΕΦΚΑ)», </w:t>
      </w:r>
      <w:r>
        <w:rPr>
          <w:rFonts w:eastAsia="Arial Unicode MS" w:cs="Calibri"/>
          <w:b/>
          <w:bCs/>
          <w:sz w:val="24"/>
        </w:rPr>
        <w:t>με αρ. 39121/26.04.2022 (Υ.Ο.Δ.Δ. 343),</w:t>
      </w:r>
      <w:r>
        <w:rPr>
          <w:rFonts w:eastAsia="Arial Unicode MS" w:cs="Calibri"/>
          <w:bCs/>
          <w:sz w:val="24"/>
        </w:rPr>
        <w:t xml:space="preserve"> «Διορισμός Υποδιοικητή, ορισμός σειράς αναπλήρωσης του Διοικητή και διορισμός τακτικού μέλους στο Διοικητικό Συμβούλιο στον Ηλεκτρονικό Εθνικό Φορέα Κοινωνικής Ασφάλισης (</w:t>
      </w:r>
      <w:r>
        <w:rPr>
          <w:rFonts w:eastAsia="Arial Unicode MS" w:cs="Calibri"/>
          <w:bCs/>
          <w:sz w:val="24"/>
          <w:lang w:val="en-US"/>
        </w:rPr>
        <w:t>e</w:t>
      </w:r>
      <w:r>
        <w:rPr>
          <w:rFonts w:eastAsia="Arial Unicode MS" w:cs="Calibri"/>
          <w:bCs/>
          <w:sz w:val="24"/>
        </w:rPr>
        <w:t>-ΕΦΚΑ)»,</w:t>
      </w:r>
      <w:r>
        <w:rPr>
          <w:rFonts w:eastAsia="Arial Unicode MS" w:cs="Calibri"/>
          <w:b/>
          <w:bCs/>
          <w:sz w:val="24"/>
        </w:rPr>
        <w:t xml:space="preserve"> με αρ. 73702/02.08.2022 (Υ.Ο.Δ.Δ. 689), </w:t>
      </w:r>
      <w:r>
        <w:rPr>
          <w:rFonts w:eastAsia="Arial Unicode MS" w:cs="Calibri"/>
          <w:bCs/>
          <w:sz w:val="24"/>
        </w:rPr>
        <w:t>Διορισμός Υποδιοικητή, ορισμός σειράς αναπλήρωσης Διοικητή και διορισμός αναπληρωματικού μέλους στο Διοικητικό Συμβούλιο στον Ηλεκτρονικό Εθνικό Φορέα Κοινωνικής Ασφάλισης (</w:t>
      </w:r>
      <w:r>
        <w:rPr>
          <w:rFonts w:eastAsia="Arial Unicode MS" w:cs="Calibri"/>
          <w:bCs/>
          <w:sz w:val="24"/>
          <w:lang w:val="en-US"/>
        </w:rPr>
        <w:t>e</w:t>
      </w:r>
      <w:r>
        <w:rPr>
          <w:rFonts w:eastAsia="Arial Unicode MS" w:cs="Calibri"/>
          <w:bCs/>
          <w:sz w:val="24"/>
        </w:rPr>
        <w:t xml:space="preserve">-ΕΦΚΑ), </w:t>
      </w:r>
      <w:r>
        <w:rPr>
          <w:rFonts w:eastAsia="Arial Unicode MS" w:cs="Calibri"/>
          <w:b/>
          <w:bCs/>
          <w:sz w:val="24"/>
        </w:rPr>
        <w:t>με αρ. Δ1/οικ.10618/3816/03.03.2020 (Υ.Ο.Δ.Δ. 158)</w:t>
      </w:r>
      <w:r>
        <w:rPr>
          <w:rFonts w:eastAsia="Arial Unicode MS" w:cs="Calibri"/>
          <w:bCs/>
          <w:sz w:val="24"/>
        </w:rPr>
        <w:t xml:space="preserve"> «Διορισμός Υποδιοικητή του Ηλεκτρονικού Εθνικού Φορέα Κοινωνικής Ασφάλισης (</w:t>
      </w:r>
      <w:r>
        <w:rPr>
          <w:rFonts w:eastAsia="Arial Unicode MS" w:cs="Calibri"/>
          <w:bCs/>
          <w:sz w:val="24"/>
          <w:lang w:val="en-US"/>
        </w:rPr>
        <w:t>e</w:t>
      </w:r>
      <w:r>
        <w:rPr>
          <w:rFonts w:eastAsia="Arial Unicode MS" w:cs="Calibri"/>
          <w:bCs/>
          <w:sz w:val="24"/>
        </w:rPr>
        <w:t>-Ε.Φ.Κ.Α.)».</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Τη με αριθ. </w:t>
      </w:r>
      <w:r>
        <w:rPr>
          <w:rFonts w:eastAsia="Arial Unicode MS" w:cs="Calibri"/>
          <w:b/>
          <w:bCs/>
          <w:sz w:val="24"/>
        </w:rPr>
        <w:t>73707/4-8-2022</w:t>
      </w:r>
      <w:r>
        <w:rPr>
          <w:rFonts w:eastAsia="Arial Unicode MS" w:cs="Calibri"/>
          <w:bCs/>
          <w:sz w:val="24"/>
        </w:rPr>
        <w:t xml:space="preserve"> (ΦΕΚ 683/2022 τ. Υ.Ο.Δ.Δ.) απόφαση του Υπουργού Εργασίας και Κοινωνικών Υποθέσεων «Διορισμός Διοικητή και Προέδρου του Διοικητικού Συμβουλίου στον Ηλεκτρονικό Εθνικό Φορέα Κοινωνικής Ασφάλισης (</w:t>
      </w:r>
      <w:r>
        <w:rPr>
          <w:rFonts w:eastAsia="Arial Unicode MS" w:cs="Calibri"/>
          <w:bCs/>
          <w:sz w:val="24"/>
          <w:lang w:val="en-US"/>
        </w:rPr>
        <w:t>e</w:t>
      </w:r>
      <w:r>
        <w:rPr>
          <w:rFonts w:eastAsia="Arial Unicode MS" w:cs="Calibri"/>
          <w:bCs/>
          <w:sz w:val="24"/>
        </w:rPr>
        <w:t>-ΕΦΚΑ)».</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Την υπ’ αρ. </w:t>
      </w:r>
      <w:r>
        <w:rPr>
          <w:rFonts w:eastAsia="Arial Unicode MS" w:cs="Calibri"/>
          <w:b/>
          <w:bCs/>
          <w:sz w:val="24"/>
        </w:rPr>
        <w:t>759/Συν.44/05-12-2019</w:t>
      </w:r>
      <w:r>
        <w:rPr>
          <w:rFonts w:eastAsia="Arial Unicode MS" w:cs="Calibri"/>
          <w:bCs/>
          <w:sz w:val="24"/>
        </w:rPr>
        <w:t xml:space="preserve"> Απόφαση του ΔΣ του e-ΕΦΚΑ (ΑΔΑ/61ΖΞ465ΧΠΙ-ΘΣΒ) «Κανονισμός Λειτουργίας Πληροφοριακού Συστήματος Πρωτοκόλλου και Ηλεκτρονικής Έκδοσης και Διακίνησης Εγγράφων στον Ε.Φ.Κ.Α.» και την υπ’αρ.283/Συν.25/20-08-2020 του ΔΣ του e-Ε.Φ.Κ.Α. (Ψ64Π46ΜΑΠΣ-ΝΚ8) «έγκριση του Αναθεωρημένου Κανονισμού Λειτουργίας Πληροφοριακού Συστήματος ΙΡΙΔΑ, όπως και τη Διαδικασίας Ηλεκτρονικής Έκδοσης και Διακίνησης Εγγράφων στον e-Ε.Φ.Κ.Α.».</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Το αρ. </w:t>
      </w:r>
      <w:r>
        <w:rPr>
          <w:rFonts w:eastAsia="Arial Unicode MS" w:cs="Calibri"/>
          <w:b/>
          <w:bCs/>
          <w:sz w:val="24"/>
        </w:rPr>
        <w:t>Φ.ΕΦΚΑ/43850/1179/21-10-2020</w:t>
      </w:r>
      <w:r>
        <w:rPr>
          <w:rFonts w:eastAsia="Arial Unicode MS" w:cs="Calibri"/>
          <w:bCs/>
          <w:sz w:val="24"/>
        </w:rPr>
        <w:t xml:space="preserve"> έγγραφο του Υπουργείου Εργασίας και Κοινωνικών Υποθέσεων και το αρ. 327159/08-12-2020 διαβιβαστικό αυτού έγγραφο,  της  Γενικής Δ/νσης Οικονομικών Υπηρεσιών (Τμήμα Προϋπολογισμού και Μεσοπρόθεσμης Στρατηγικής), σχετικά με την ανάληψη Πολυετών Υποχρεώσεων, σύμφωνα με το οποίο: «Οι Προϊστάμενοι των ΠΥΣΥ ως Δευτερεύοντες  Διατάκτες αναλαμβάνουν υποχρεώσεις μέχρι του ύψους των πιστώσεων που τους μεταβιβάζονται κατ’ εντολή του Κύριου Διατάκτη με την έκδοση επιτροπικού εντάλματος μόνο για το τρέχον οικονομικό έτος. Ως εκ τούτου, προκειμένου να εκδίδονται οι προβλεπόμενες εγκρίσεις ανάληψης πολυετών υποχρεώσεων για τις ανάγκες των ΠΥΣΥ, απαιτείται σχετική απόφαση του ΔΣ του e-ΕΦΚΑ, ως Κύριου Διατάκτη».</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Τα αναφερόμενα στο</w:t>
      </w:r>
      <w:r>
        <w:rPr>
          <w:rFonts w:eastAsia="Arial Unicode MS" w:cs="Calibri"/>
          <w:b/>
          <w:bCs/>
          <w:sz w:val="24"/>
        </w:rPr>
        <w:t xml:space="preserve"> αρ. 34015/22-03-2022 έγγραφο</w:t>
      </w:r>
      <w:r>
        <w:rPr>
          <w:rFonts w:eastAsia="Arial Unicode MS" w:cs="Calibri"/>
          <w:bCs/>
          <w:sz w:val="24"/>
        </w:rPr>
        <w:t xml:space="preserve"> του Τμήματος Προϋπολογισμού και Μεσοπρόθεσμης Στρατηγικής, της Δ/νσης Οικονομικής Διαχείρισης και Δημοσιονομικών Αναφορών, της  Γενικής Δ/νσης Οικονομικών Υπηρεσιών, σύμφωνα με το οποίο «αναπροσαρμόσθηκαν τα όρια της παρ. 1 του άρθρου 67 του ν. 4270/2014 (Α΄ 143) κι ως εκ τούτου για την ανάληψη υποχρεώσεων που προβλέπονται να βαρύνουν είτε τμηματικά είτε εξ ολοκλήρου τα επόμενα έτη, απαιτείται πλέον απόφαση έγκρισης του εποπτεύοντος  Υπουργού όταν η υποχρέωση υπερβαίνει το ποσό του ενός εκατομμυρίου ευρώ (1.000.000€) σωρευτικά ανά ΚΑΕ για το σύνολο του Φορέα»</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Ν.4412/2016</w:t>
      </w:r>
      <w:r>
        <w:rPr>
          <w:rFonts w:eastAsia="Arial Unicode MS" w:cs="Calibri"/>
          <w:bCs/>
          <w:sz w:val="24"/>
        </w:rPr>
        <w:t xml:space="preserve"> (ΦΕΚ Α΄ 147) «Δημόσιες Συμβάσεις Έργων, Προμηθειών και Υπηρεσιών (προσαρμογή στις Οδηγίες 2014/24/ΕΕ και 2014/25/ΕΕ)» όπως τροποποιήθηκε και ισχύει.</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Ν.4782/2021 (ΦΕΚ 36/Α’/9-3-2021)</w:t>
      </w:r>
      <w:r>
        <w:rPr>
          <w:rFonts w:eastAsia="Arial Unicode MS" w:cs="Calibri"/>
          <w:bCs/>
          <w:sz w:val="24"/>
        </w:rPr>
        <w:t xml:space="preserve"> «Εκσυγχρονισμός, απλοποίηση και αναμόρφωση του ρυθμιστικού πλαισίου των δημοσίων συμβάσεων, ειδικότερες ρυθμίσεις προμηθειών».</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Ν.4700/2020</w:t>
      </w:r>
      <w:r>
        <w:rPr>
          <w:rFonts w:eastAsia="Arial Unicode MS" w:cs="Calibri"/>
          <w:bCs/>
          <w:sz w:val="24"/>
        </w:rPr>
        <w:t xml:space="preserve">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pPr>
        <w:pStyle w:val="Normalwithoutspacing"/>
        <w:widowControl/>
        <w:numPr>
          <w:ilvl w:val="0"/>
          <w:numId w:val="9"/>
        </w:numPr>
        <w:suppressAutoHyphens w:val="true"/>
        <w:bidi w:val="0"/>
        <w:spacing w:lineRule="auto" w:line="276" w:before="0" w:after="60"/>
        <w:ind w:left="57" w:right="0" w:hanging="397"/>
        <w:jc w:val="both"/>
        <w:rPr>
          <w:rFonts w:eastAsia="Arial Unicode MS" w:cs="Calibri"/>
          <w:bCs/>
          <w:sz w:val="24"/>
        </w:rPr>
      </w:pPr>
      <w:r>
        <w:rPr>
          <w:rFonts w:eastAsia="Arial Unicode MS" w:cs="Calibri"/>
          <w:bCs/>
          <w:sz w:val="24"/>
        </w:rPr>
        <w:t>Τον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Ν.4013/2011</w:t>
      </w:r>
      <w:r>
        <w:rPr>
          <w:rFonts w:eastAsia="Arial Unicode MS" w:cs="Calibri"/>
          <w:bCs/>
          <w:sz w:val="24"/>
        </w:rPr>
        <w:t xml:space="preserve"> (Α’ 204) «Σύσταση ενιαίας Ανεξάρτητης Αρχής Δημοσίων Συμβάσεων και Κεντρικού Ηλεκτρονικού Μητρώου Δημοσίων Συμβάσεων…».</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 3861/2010</w:t>
      </w:r>
      <w:r>
        <w:rPr>
          <w:rFonts w:eastAsia="Arial Unicode MS" w:cs="Calibri"/>
          <w:bCs/>
          <w:sz w:val="24"/>
        </w:rPr>
        <w:t xml:space="preserve"> (ΦΕΚ Α’ 112) «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Τις διατάξεις του</w:t>
      </w:r>
      <w:r>
        <w:rPr>
          <w:rFonts w:eastAsia="Arial Unicode MS" w:cs="Calibri"/>
          <w:b/>
          <w:bCs/>
          <w:sz w:val="24"/>
        </w:rPr>
        <w:t xml:space="preserve"> Ν. 3863/2010</w:t>
      </w:r>
      <w:r>
        <w:rPr>
          <w:rFonts w:eastAsia="Arial Unicode MS" w:cs="Calibri"/>
          <w:bCs/>
          <w:sz w:val="24"/>
        </w:rPr>
        <w:t xml:space="preserve"> (ΦΕΚ 115/Α’/ 15-7-2010) «Νέο Ασφαλιστικό Σύστημα και συναφείς διατάξεις, ρυθμίσεις και  εργασιακές σχέσεις», όπως  τροποποιήθηκε και ισχύει με το άρθρο 22  του Ν. 4144/2013 (ΦΕΚ  88 /Α’/ 18-4-2013)  «Αντιμετώπιση παραβατικότητας στην Κοινωνική Ασφάλιση και την αγορά εργασίας και λοιπές διατάξεις»,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 4601/2019</w:t>
      </w:r>
      <w:r>
        <w:rPr>
          <w:rFonts w:eastAsia="Arial Unicode MS" w:cs="Calibri"/>
          <w:bCs/>
          <w:sz w:val="24"/>
        </w:rPr>
        <w:t xml:space="preserve"> (Α’ 44) «Εταιρικοί µετασχηµατισµοί και εναρµόνιση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τιµολογίων στο πλαίσιο δηµοσίων συµβάσεων και λοιπές διατάξεις».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 3310/2005</w:t>
      </w:r>
      <w:r>
        <w:rPr>
          <w:rFonts w:eastAsia="Arial Unicode MS" w:cs="Calibri"/>
          <w:bCs/>
          <w:sz w:val="24"/>
        </w:rPr>
        <w:t xml:space="preserve"> (Α’ 30) «Μέτρα για τη διασφάλιση της διαφάνειας και την αποτροπή καταστρατηγήσεων κατά τη διαδικασία σύναψης δημοσίων συμβάσεων», του π.δ/τος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«προνομιακό φορολογικό καθεστώς».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Π.Δ. 39/2017</w:t>
      </w:r>
      <w:r>
        <w:rPr>
          <w:rFonts w:eastAsia="Arial Unicode MS" w:cs="Calibri"/>
          <w:bCs/>
          <w:sz w:val="24"/>
        </w:rPr>
        <w:t xml:space="preserve"> (Α’ 64) «Κανονισμός εξέτασης προδικαστικών προσφυγών ενώπιων της Α.Ε.Π.Π.».</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iCs/>
          <w:sz w:val="24"/>
        </w:rPr>
        <w:t xml:space="preserve">Την υπ’ αρ. </w:t>
      </w:r>
      <w:r>
        <w:rPr>
          <w:rFonts w:eastAsia="Arial Unicode MS" w:cs="Calibri"/>
          <w:b/>
          <w:bCs/>
          <w:iCs/>
          <w:sz w:val="24"/>
        </w:rPr>
        <w:t>76928/13-07-2021</w:t>
      </w:r>
      <w:r>
        <w:rPr>
          <w:rFonts w:eastAsia="Arial Unicode MS" w:cs="Calibri"/>
          <w:bCs/>
          <w:iCs/>
          <w:sz w:val="24"/>
        </w:rPr>
        <w:t xml:space="preserve"> (</w:t>
      </w:r>
      <w:r>
        <w:rPr>
          <w:rFonts w:eastAsia="Arial Unicode MS" w:cs="Calibri"/>
          <w:bCs/>
          <w:sz w:val="24"/>
        </w:rPr>
        <w:t>ΦΕΚ Β’ 3075/13-07-2021) Απόφαση των Υπουργών Ανάπτυξης και Επενδύσεων – Επικρατείας με θέμα «Ρύθμιση ειδικότερων θεμάτων λειτουργίας και διαχείρισης του Κεντρικού Ηλεκτρονικού Μητρώου Δημοσίων Συμβάσεων (ΚΗΜΔΗΣ)».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Tην υπ’ αριθμ. </w:t>
      </w:r>
      <w:r>
        <w:rPr>
          <w:rFonts w:eastAsia="Arial Unicode MS" w:cs="Calibri"/>
          <w:b/>
          <w:bCs/>
          <w:sz w:val="24"/>
        </w:rPr>
        <w:t>64233/08-06-2021</w:t>
      </w:r>
      <w:r>
        <w:rPr>
          <w:rFonts w:eastAsia="Arial Unicode MS" w:cs="Calibri"/>
          <w:bCs/>
          <w:sz w:val="24"/>
        </w:rPr>
        <w:t xml:space="preserve">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Την υπ΄ αριθμ. Κ.Υ.Α. </w:t>
      </w:r>
      <w:r>
        <w:rPr>
          <w:rFonts w:eastAsia="Arial Unicode MS" w:cs="Calibri"/>
          <w:b/>
          <w:bCs/>
          <w:sz w:val="24"/>
        </w:rPr>
        <w:t xml:space="preserve">οικ. 98979 ΕΞ2021 (B’ 3766/13.08.2021) </w:t>
      </w:r>
      <w:r>
        <w:rPr>
          <w:rFonts w:eastAsia="Arial Unicode MS" w:cs="Calibri"/>
          <w:bCs/>
          <w:sz w:val="24"/>
        </w:rPr>
        <w:t>«Ηλεκτρονική Τιμολόγηση στο πλαίσιο των Δημόσιων Συμβάσεων δυνάμει του ν. 4601/2019» (Α΄44).</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της αριθμ. </w:t>
      </w:r>
      <w:r>
        <w:rPr>
          <w:rFonts w:eastAsia="Arial Unicode MS" w:cs="Calibri"/>
          <w:b/>
          <w:bCs/>
          <w:sz w:val="24"/>
        </w:rPr>
        <w:t>63446/2021 Κ.Υ.Α.</w:t>
      </w:r>
      <w:r>
        <w:rPr>
          <w:rFonts w:eastAsia="Arial Unicode MS" w:cs="Calibri"/>
          <w:bCs/>
          <w:sz w:val="24"/>
        </w:rPr>
        <w:t xml:space="preserve"> (B’ 2338/02.06.2020) «Καθορισμός Εθνικού Μορφότυπου ηλεκτρονικού τιμολογίου στο πλαίσιο των Δημοσίων Συμβάσεων». </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 3419/2005</w:t>
      </w:r>
      <w:r>
        <w:rPr>
          <w:rFonts w:eastAsia="Arial Unicode MS" w:cs="Calibri"/>
          <w:bCs/>
          <w:sz w:val="24"/>
        </w:rPr>
        <w:t xml:space="preserve"> (Α’ 297) «Γενικό Εμπορικό Μητρώο (Γ.Ε.ΜΗ.) και εκσυγχρονισμός της Επιμελητηριακής Νομοθεσίας».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 4270/2014</w:t>
      </w:r>
      <w:r>
        <w:rPr>
          <w:rFonts w:eastAsia="Arial Unicode MS" w:cs="Calibri"/>
          <w:bCs/>
          <w:sz w:val="24"/>
        </w:rPr>
        <w:t xml:space="preserve"> (Α’ 143) «Αρχές δημοσιονομικής διαχείρισης και εποπτείας (ενσωμάτωση της Οδηγίας 2011/85/ΕΕ) – δημόσιο λογιστικό και άλλες διατάξεις», όπως ισχύει.</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της </w:t>
      </w:r>
      <w:r>
        <w:rPr>
          <w:rFonts w:eastAsia="Arial Unicode MS" w:cs="Calibri"/>
          <w:b/>
          <w:bCs/>
          <w:sz w:val="24"/>
        </w:rPr>
        <w:t>παρ. Ζ του Ν. 4152/2013</w:t>
      </w:r>
      <w:r>
        <w:rPr>
          <w:rFonts w:eastAsia="Arial Unicode MS" w:cs="Calibri"/>
          <w:bCs/>
          <w:sz w:val="24"/>
        </w:rPr>
        <w:t xml:space="preserve"> (Α’ 107) «Προσαρμογή της ελληνικής νομοθεσίας στην Οδηγία 2011/7 της 16.2.2011 για την καταπολέμηση των καθυστερήσεων πληρωμών στις εμπορικές συναλλαγές..».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 4727/2020</w:t>
      </w:r>
      <w:r>
        <w:rPr>
          <w:rFonts w:eastAsia="Arial Unicode MS" w:cs="Calibri"/>
          <w:bCs/>
          <w:sz w:val="24"/>
        </w:rPr>
        <w:t xml:space="preserve">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Π.Δ. 28/2015</w:t>
      </w:r>
      <w:r>
        <w:rPr>
          <w:rFonts w:eastAsia="Arial Unicode MS" w:cs="Calibri"/>
          <w:bCs/>
          <w:sz w:val="24"/>
        </w:rPr>
        <w:t xml:space="preserve"> (Α’ 34) «Κωδικοποίηση διατάξεων για την πρόσβαση σε δημόσια έγγραφα και στοιχεία».</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Ν.2859/2000</w:t>
      </w:r>
      <w:r>
        <w:rPr>
          <w:rFonts w:eastAsia="Arial Unicode MS" w:cs="Calibri"/>
          <w:bCs/>
          <w:sz w:val="24"/>
        </w:rPr>
        <w:t xml:space="preserve"> (Α’ 248) </w:t>
      </w:r>
      <w:r>
        <w:rPr>
          <w:rFonts w:eastAsia="Arial Unicode MS" w:cs="Calibri"/>
          <w:bCs/>
          <w:i/>
          <w:sz w:val="24"/>
        </w:rPr>
        <w:t>«</w:t>
      </w:r>
      <w:r>
        <w:rPr>
          <w:rFonts w:eastAsia="Arial Unicode MS" w:cs="Calibri"/>
          <w:bCs/>
          <w:sz w:val="24"/>
        </w:rPr>
        <w:t>Κύρωση Κώδικα Φόρου Προστιθέμενης Αξίας».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Ν.2690/1999</w:t>
      </w:r>
      <w:r>
        <w:rPr>
          <w:rFonts w:eastAsia="Arial Unicode MS" w:cs="Calibri"/>
          <w:bCs/>
          <w:sz w:val="24"/>
        </w:rPr>
        <w:t xml:space="preserve"> (Α’ 45) «Κύρωση του Κώδικα Διοικητικής Διαδικασίας και άλλες διατάξεις» και ιδίως των άρθρων 1,2, 7, 11 και 13 έως 15.</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Ν.2121/1993</w:t>
      </w:r>
      <w:r>
        <w:rPr>
          <w:rFonts w:eastAsia="Arial Unicode MS" w:cs="Calibri"/>
          <w:bCs/>
          <w:sz w:val="24"/>
        </w:rPr>
        <w:t xml:space="preserve"> (Α΄25) «Πνευματική Ιδιοκτησία, Συγγενικά Δικαιώματα και Πολιτιστικά Θέματα».</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Ν.4250/2014</w:t>
      </w:r>
      <w:r>
        <w:rPr>
          <w:rFonts w:eastAsia="Arial Unicode MS" w:cs="Calibri"/>
          <w:bCs/>
          <w:sz w:val="24"/>
        </w:rPr>
        <w:t xml:space="preserve">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Κανονισμού </w:t>
      </w:r>
      <w:r>
        <w:rPr>
          <w:rFonts w:eastAsia="Arial Unicode MS" w:cs="Calibri"/>
          <w:b/>
          <w:bCs/>
          <w:sz w:val="24"/>
        </w:rPr>
        <w:t>(ΕΕ) 2016/679</w:t>
      </w:r>
      <w:r>
        <w:rPr>
          <w:rFonts w:eastAsia="Arial Unicode MS" w:cs="Calibri"/>
          <w:bCs/>
          <w:sz w:val="24"/>
        </w:rPr>
        <w:t xml:space="preserve">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Ν. 4624/2019</w:t>
      </w:r>
      <w:r>
        <w:rPr>
          <w:rFonts w:eastAsia="Arial Unicode MS" w:cs="Calibri"/>
          <w:bCs/>
          <w:sz w:val="24"/>
        </w:rPr>
        <w:t xml:space="preserve">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sz w:val="24"/>
        </w:rPr>
        <w:t>Ν. 4912/2022 (ΦΕΚ 59/Α/17-3-2022)</w:t>
      </w:r>
      <w:r>
        <w:rPr>
          <w:rFonts w:eastAsia="Arial Unicode MS" w:cs="Calibri"/>
          <w:bCs/>
          <w:sz w:val="24"/>
        </w:rPr>
        <w:t xml:space="preserve"> Ενιαία Αρχή Δημοσίων Συμβάσεων και άλλες διατάξεις του Υπουργείου Δικαιοσύνης.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w:t>
      </w:r>
      <w:r>
        <w:rPr>
          <w:rFonts w:eastAsia="Arial Unicode MS" w:cs="Calibri"/>
          <w:b/>
          <w:bCs/>
          <w:sz w:val="24"/>
        </w:rPr>
        <w:t>Π.Δ. 80/2016</w:t>
      </w:r>
      <w:r>
        <w:rPr>
          <w:rFonts w:eastAsia="Arial Unicode MS" w:cs="Calibri"/>
          <w:bCs/>
          <w:sz w:val="24"/>
        </w:rPr>
        <w:t xml:space="preserve"> (ΦΕΚ Α’ 145) </w:t>
      </w:r>
      <w:r>
        <w:rPr>
          <w:rFonts w:eastAsia="Arial Unicode MS" w:cs="Calibri"/>
          <w:bCs/>
          <w:i/>
          <w:iCs/>
          <w:sz w:val="24"/>
        </w:rPr>
        <w:t>«Ανάληψη υποχρεώσεων από τους διατάκτες».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με αρ. </w:t>
      </w:r>
      <w:r>
        <w:rPr>
          <w:rFonts w:eastAsia="Arial Unicode MS" w:cs="Calibri"/>
          <w:b/>
          <w:bCs/>
          <w:sz w:val="24"/>
        </w:rPr>
        <w:t>ΦΕΚ 891/τ Β΄/14.03.2019</w:t>
      </w:r>
      <w:r>
        <w:rPr>
          <w:rFonts w:eastAsia="Arial Unicode MS" w:cs="Calibri"/>
          <w:bCs/>
          <w:sz w:val="24"/>
        </w:rPr>
        <w:t xml:space="preserve"> περί «έναρξης λειτουργίας της Περιφερειακής Υπηρεσίας Συντονισμού και Υποστήριξης (Π.Υ.Σ.Υ.) Θεσσαλίας. </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διατάξεις του άρθρου </w:t>
      </w:r>
      <w:r>
        <w:rPr>
          <w:rFonts w:eastAsia="Arial Unicode MS" w:cs="Calibri"/>
          <w:b/>
          <w:bCs/>
          <w:sz w:val="24"/>
        </w:rPr>
        <w:t>53 του Ν. 4670/2020</w:t>
      </w:r>
      <w:r>
        <w:rPr>
          <w:rFonts w:eastAsia="Arial Unicode MS" w:cs="Calibri"/>
          <w:bCs/>
          <w:sz w:val="24"/>
        </w:rPr>
        <w:t xml:space="preserve"> “Ασφαλιστική μεταρρύθμιση και ψηφιακός μετασχηματισμός Εθνικού Φορέα Κοινωνικής Ασφάλισης (</w:t>
      </w:r>
      <w:r>
        <w:rPr>
          <w:rFonts w:eastAsia="Arial Unicode MS" w:cs="Calibri"/>
          <w:bCs/>
          <w:sz w:val="24"/>
          <w:lang w:val="en-US"/>
        </w:rPr>
        <w:t>e</w:t>
      </w:r>
      <w:r>
        <w:rPr>
          <w:rFonts w:eastAsia="Arial Unicode MS" w:cs="Calibri"/>
          <w:bCs/>
          <w:sz w:val="24"/>
        </w:rPr>
        <w:t xml:space="preserve">-Ε.Φ.Κ.Α.) και άλλες </w:t>
      </w:r>
      <w:r>
        <w:rPr>
          <w:rFonts w:eastAsia="Arial Unicode MS" w:cs="Calibri"/>
          <w:bCs/>
          <w:i/>
          <w:sz w:val="24"/>
        </w:rPr>
        <w:t xml:space="preserve">διατάξεις’’ </w:t>
      </w:r>
      <w:r>
        <w:rPr>
          <w:rFonts w:eastAsia="Arial Unicode MS" w:cs="Calibri"/>
          <w:bCs/>
          <w:sz w:val="24"/>
        </w:rPr>
        <w:t>«Οι Περιφερειακές Υπηρεσίες Συντονισμού και Υποστήριξης λειτουργούν σε επίπεδο Γενικής Διεύθυνσης…..».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Την υπ’ αριθμ. </w:t>
      </w:r>
      <w:r>
        <w:rPr>
          <w:rFonts w:eastAsia="Arial Unicode MS" w:cs="Calibri"/>
          <w:b/>
          <w:bCs/>
          <w:sz w:val="24"/>
        </w:rPr>
        <w:t>88/Συν.7/28.02.2020</w:t>
      </w:r>
      <w:r>
        <w:rPr>
          <w:rFonts w:eastAsia="Arial Unicode MS" w:cs="Calibri"/>
          <w:bCs/>
          <w:sz w:val="24"/>
        </w:rPr>
        <w:t xml:space="preserve"> Απόφαση του Δ.Σ. </w:t>
      </w:r>
      <w:r>
        <w:rPr>
          <w:rFonts w:eastAsia="Arial Unicode MS" w:cs="Calibri"/>
          <w:bCs/>
          <w:sz w:val="24"/>
          <w:lang w:val="en-US"/>
        </w:rPr>
        <w:t>e</w:t>
      </w:r>
      <w:r>
        <w:rPr>
          <w:rFonts w:eastAsia="Arial Unicode MS" w:cs="Calibri"/>
          <w:bCs/>
          <w:sz w:val="24"/>
        </w:rPr>
        <w:t>-ΕΦΚΑ περί μεταβίβασης άσκησης  αρμοδιοτήτων του Διατάκτη του Ε.Φ.Κ.Α. στα Όργανα του Φορέα.</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Την με αριθμ. </w:t>
      </w:r>
      <w:r>
        <w:rPr>
          <w:rFonts w:eastAsia="Arial Unicode MS" w:cs="Calibri"/>
          <w:b/>
          <w:bCs/>
          <w:sz w:val="24"/>
        </w:rPr>
        <w:t>59679/12.03.2020 (ΦΕΚ 831/τ.Β’/12.03.2020)</w:t>
      </w:r>
      <w:r>
        <w:rPr>
          <w:rFonts w:eastAsia="Arial Unicode MS" w:cs="Calibri"/>
          <w:bCs/>
          <w:sz w:val="24"/>
        </w:rPr>
        <w:t xml:space="preserve"> Απόφαση του Διοικητή e-ΕΦΚΑ: «Υπαγωγή των Περιφερειακών Υπηρεσιών Συντονισμού και Υποστήριξης (Π.Υ.Σ.Υ.) του Ηλεκτρονικού Εθνικού Φορέα Κοινωνικής Ασφάλισης (e-ΕΦΚΑ) στην έννοια της ‘’χωριστής επιχειρησιακής μονάδας ανεξαρτήτως υπεύθυνης για τη σύναψη συμβάσεων της ίδιας ή ορισμένων κατηγοριών αυτών ‘’ του άρθρου 6 παρ. 2 , εδαφ. β’ του ν. 4412/ 2016» όπως συμπληρώθηκε και ισχύει (σχετ. οι αριθμ, 63504/17.03.2020 (ΦΕΚ 1221/τ.Β’/09.04.2020), 92497/20.05.2020 (ΦΕΚ 2153/τ.Β’/04.06.2020), 233157/29-9-2020 (ΦΕΚ 4422/τ.Β’/07.10.2020), 339747/18-12-2020 (ΦΕΚ 5688/τ.Β/23.12.2020), 316376/30-11-2020 (ΦΕΚ 5419/τ.Β’/09.12.2020), 95149/17-03-2021 (ΦΕΚ 1244/ τ.Β’/31.03.2021), 97244/01-03-2022 (ΦΕΚ 1238/ τ.Β’/17.03.2022), 236645/20-05-2022 (ΦΕΚ 2581/τ.Β’/25.05.2022) αποφάσεις).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Την με αριθμ. πρωτ. 70117/10-02-2023 Απόφαση του Διοικητή του </w:t>
      </w:r>
      <w:r>
        <w:rPr>
          <w:rFonts w:eastAsia="Arial Unicode MS" w:cs="Calibri"/>
          <w:bCs/>
          <w:sz w:val="24"/>
          <w:lang w:val="en-US"/>
        </w:rPr>
        <w:t>e</w:t>
      </w:r>
      <w:r>
        <w:rPr>
          <w:rFonts w:eastAsia="Arial Unicode MS" w:cs="Calibri"/>
          <w:bCs/>
          <w:sz w:val="24"/>
        </w:rPr>
        <w:t>-ΕΦΚΑ με θέμα: «Συγκρότηση Ετήσιων Επιτροπών για τις ανάγκες της Π.Υ.Σ.Υ Θεσσαλίας, έτους 2023», με την οποία αποφασίστηκε η συγκρότηση πενταμελούς Επιτροπής Αξιολόγησης των Αποτελεσμάτων των Διαγωνισμών και των Διαδικασιών Διαπραγμάτευσης των Δομών Αρμοδιότητας της Π.Υ.Σ.Υ. Θεσσαλίας χρονικού διαστήματος ενός έτους από υπογραφή της παρούσης.</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sz w:val="24"/>
        </w:rPr>
        <w:t xml:space="preserve">Τις δοθείσες </w:t>
      </w:r>
      <w:r>
        <w:rPr>
          <w:rFonts w:eastAsia="Arial Unicode MS" w:cs="Calibri"/>
          <w:b/>
          <w:bCs/>
          <w:sz w:val="24"/>
        </w:rPr>
        <w:t>τεχνικές προδιαγραφές και όρους</w:t>
      </w:r>
      <w:r>
        <w:rPr>
          <w:rFonts w:eastAsia="Arial Unicode MS" w:cs="Calibri"/>
          <w:bCs/>
          <w:sz w:val="24"/>
        </w:rPr>
        <w:t xml:space="preserve">  από το Τμήμα Προγραμματισμού Προμηθειών &amp; Προδιαγραφών της Δ/νσης Προμηθειών. </w:t>
      </w:r>
      <w:r>
        <w:rPr>
          <w:rFonts w:eastAsia="Arial Unicode MS" w:cs="Calibri"/>
          <w:b/>
          <w:sz w:val="24"/>
        </w:rPr>
        <w:t xml:space="preserve"> </w:t>
      </w:r>
    </w:p>
    <w:p>
      <w:pPr>
        <w:pStyle w:val="Normalwithoutspacing"/>
        <w:widowControl/>
        <w:numPr>
          <w:ilvl w:val="0"/>
          <w:numId w:val="9"/>
        </w:numPr>
        <w:suppressAutoHyphens w:val="true"/>
        <w:bidi w:val="0"/>
        <w:spacing w:lineRule="auto" w:line="276" w:before="0" w:after="60"/>
        <w:ind w:left="57" w:right="0" w:hanging="397"/>
        <w:jc w:val="both"/>
        <w:rPr/>
      </w:pPr>
      <w:r>
        <w:rPr>
          <w:rFonts w:eastAsia="Arial Unicode MS" w:cs="Calibri"/>
          <w:bCs/>
          <w:iCs/>
          <w:sz w:val="24"/>
        </w:rPr>
        <w:t>Την υπ΄ αριθμ. Πρωτ. 206294/26-04-2023 εισήγηση της ΠΥΣΥ Θεσσαλίας προς το Δ.Σ. του φορέα, σύμφωνα με την οποία ο</w:t>
      </w:r>
      <w:r>
        <w:rPr>
          <w:rFonts w:eastAsia="Arial Unicode MS" w:cs="Calibri"/>
          <w:bCs/>
          <w:sz w:val="24"/>
        </w:rPr>
        <w:t xml:space="preserve"> συνολικός προϋπολογισμός του ποσού των #453.643,60€# (τετρακοσίων πενήντα τριών χιλιάδων εξακοσίων σαράντα τριών ευρώ και εξήντα λεπτών) πλέον ΦΠΑ ή #562.518,06€# (πεντακοσίων εξήντα δύο χιλιάδων πεντακοσίων δεκαοκτώ ευρώ και έξι λεπτών) συμπ/νου του ΦΠΑ 24%, θα βαρύνει τον ΚΑΕ 0845 του προϋπολογισμού του e-ΕΦΚΑ των ετών 2023, 2024, 2025, 2026,  2027, ως ο κάτωθι πίνακας : </w:t>
      </w:r>
    </w:p>
    <w:p>
      <w:pPr>
        <w:pStyle w:val="Normalwithoutspacing"/>
        <w:spacing w:lineRule="auto" w:line="276"/>
        <w:ind w:left="360" w:right="0" w:hanging="0"/>
        <w:rPr>
          <w:rFonts w:eastAsia="Arial Unicode MS" w:cs="Calibri"/>
          <w:bCs/>
          <w:sz w:val="24"/>
        </w:rPr>
      </w:pPr>
      <w:r>
        <w:rPr>
          <w:rFonts w:eastAsia="Arial Unicode MS" w:cs="Calibri"/>
          <w:bCs/>
          <w:sz w:val="24"/>
        </w:rPr>
        <w:drawing>
          <wp:anchor behindDoc="0" distT="0" distB="0" distL="0" distR="0" simplePos="0" locked="0" layoutInCell="1" allowOverlap="1" relativeHeight="3">
            <wp:simplePos x="0" y="0"/>
            <wp:positionH relativeFrom="column">
              <wp:posOffset>635</wp:posOffset>
            </wp:positionH>
            <wp:positionV relativeFrom="paragraph">
              <wp:posOffset>88900</wp:posOffset>
            </wp:positionV>
            <wp:extent cx="6205855" cy="2957830"/>
            <wp:effectExtent l="0" t="0" r="0" b="0"/>
            <wp:wrapTopAndBottom/>
            <wp:docPr id="5" name="Αντικείμενο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Αντικείμενο2" descr=""/>
                    <pic:cNvPicPr>
                      <a:picLocks noChangeAspect="1" noChangeArrowheads="1"/>
                    </pic:cNvPicPr>
                  </pic:nvPicPr>
                  <pic:blipFill>
                    <a:blip r:embed="rId12"/>
                    <a:stretch>
                      <a:fillRect/>
                    </a:stretch>
                  </pic:blipFill>
                  <pic:spPr bwMode="auto">
                    <a:xfrm>
                      <a:off x="0" y="0"/>
                      <a:ext cx="6205855" cy="2957830"/>
                    </a:xfrm>
                    <a:prstGeom prst="rect">
                      <a:avLst/>
                    </a:prstGeom>
                  </pic:spPr>
                </pic:pic>
              </a:graphicData>
            </a:graphic>
          </wp:anchor>
        </w:drawing>
      </w:r>
    </w:p>
    <w:p>
      <w:pPr>
        <w:pStyle w:val="Normalwithoutspacing"/>
        <w:spacing w:lineRule="auto" w:line="276"/>
        <w:rPr>
          <w:rFonts w:eastAsia="Arial Unicode MS" w:cs="Calibri"/>
          <w:b/>
          <w:b/>
          <w:bCs/>
          <w:iCs/>
          <w:sz w:val="24"/>
        </w:rPr>
      </w:pPr>
      <w:r>
        <w:rPr>
          <w:rFonts w:eastAsia="Arial Unicode MS" w:cs="Calibri"/>
          <w:b/>
          <w:bCs/>
          <w:iCs/>
          <w:sz w:val="24"/>
        </w:rPr>
        <w:t>Έτος 2023:    4.312,00  € πλέον ΦΠΑ ή 5.346,88 € συμπ/νου ΦΠΑ</w:t>
      </w:r>
    </w:p>
    <w:p>
      <w:pPr>
        <w:pStyle w:val="Normalwithoutspacing"/>
        <w:spacing w:lineRule="auto" w:line="276"/>
        <w:rPr>
          <w:rFonts w:eastAsia="Arial Unicode MS" w:cs="Calibri"/>
          <w:b/>
          <w:b/>
          <w:bCs/>
          <w:iCs/>
          <w:sz w:val="24"/>
        </w:rPr>
      </w:pPr>
      <w:r>
        <w:rPr>
          <w:rFonts w:eastAsia="Arial Unicode MS" w:cs="Calibri"/>
          <w:b/>
          <w:bCs/>
          <w:iCs/>
          <w:sz w:val="24"/>
        </w:rPr>
        <w:t>Έτος 2024:    113.718,90 € πλέον ΦΠΑ ή 141.011,44 € συμπ/νου ΦΠΑ</w:t>
      </w:r>
    </w:p>
    <w:p>
      <w:pPr>
        <w:pStyle w:val="Normalwithoutspacing"/>
        <w:spacing w:lineRule="auto" w:line="276"/>
        <w:rPr>
          <w:rFonts w:eastAsia="Arial Unicode MS" w:cs="Calibri"/>
          <w:b/>
          <w:b/>
          <w:bCs/>
          <w:iCs/>
          <w:sz w:val="24"/>
        </w:rPr>
      </w:pPr>
      <w:r>
        <w:rPr>
          <w:rFonts w:eastAsia="Arial Unicode MS" w:cs="Calibri"/>
          <w:b/>
          <w:bCs/>
          <w:iCs/>
          <w:sz w:val="24"/>
        </w:rPr>
        <w:t>Έτος 2025:    149.161,20 € πλέον ΦΠΑ ή 184.959,89 € συμπ/νου ΦΠΑ</w:t>
      </w:r>
    </w:p>
    <w:p>
      <w:pPr>
        <w:pStyle w:val="Normalwithoutspacing"/>
        <w:spacing w:lineRule="auto" w:line="276"/>
        <w:rPr>
          <w:rFonts w:eastAsia="Arial Unicode MS" w:cs="Calibri"/>
          <w:b/>
          <w:b/>
          <w:bCs/>
          <w:iCs/>
          <w:sz w:val="24"/>
        </w:rPr>
      </w:pPr>
      <w:r>
        <w:rPr>
          <w:rFonts w:eastAsia="Arial Unicode MS" w:cs="Calibri"/>
          <w:b/>
          <w:bCs/>
          <w:iCs/>
          <w:sz w:val="24"/>
        </w:rPr>
        <w:t>Έτος 2026:    149.161,20 € πλέον ΦΠΑ ή 184.959,89 € συμπ/νου ΦΠΑ</w:t>
      </w:r>
    </w:p>
    <w:p>
      <w:pPr>
        <w:pStyle w:val="Normalwithoutspacing"/>
        <w:spacing w:lineRule="auto" w:line="276" w:before="0" w:after="0"/>
        <w:rPr>
          <w:rFonts w:eastAsia="Arial Unicode MS" w:cs="Calibri"/>
          <w:b/>
          <w:b/>
          <w:bCs/>
          <w:iCs/>
          <w:sz w:val="24"/>
        </w:rPr>
      </w:pPr>
      <w:r>
        <w:rPr>
          <w:rFonts w:eastAsia="Arial Unicode MS" w:cs="Calibri"/>
          <w:b/>
          <w:bCs/>
          <w:iCs/>
          <w:sz w:val="24"/>
        </w:rPr>
        <w:t>Έτος 2027:     37.290,30 € πλέον ΦΠΑ ή 46.239,97  € συμπ/νου ΦΠΑ</w:t>
      </w:r>
    </w:p>
    <w:p>
      <w:pPr>
        <w:pStyle w:val="Normalwithoutspacing"/>
        <w:spacing w:lineRule="auto" w:line="276" w:before="0" w:after="0"/>
        <w:rPr>
          <w:rFonts w:eastAsia="Arial Unicode MS" w:cs="Calibri"/>
          <w:b/>
          <w:b/>
          <w:bCs/>
          <w:iCs/>
          <w:sz w:val="24"/>
        </w:rPr>
      </w:pPr>
      <w:r>
        <w:rPr>
          <w:rFonts w:eastAsia="Arial Unicode MS" w:cs="Calibri"/>
          <w:b/>
          <w:bCs/>
          <w:iCs/>
          <w:sz w:val="24"/>
        </w:rPr>
      </w:r>
    </w:p>
    <w:p>
      <w:pPr>
        <w:pStyle w:val="Normalwithoutspacing"/>
        <w:spacing w:lineRule="auto" w:line="276"/>
        <w:rPr>
          <w:rFonts w:eastAsia="Arial Unicode MS" w:cs="Calibri"/>
          <w:sz w:val="24"/>
        </w:rPr>
      </w:pPr>
      <w:r>
        <w:rPr>
          <w:rFonts w:eastAsia="Arial Unicode MS" w:cs="Calibri"/>
          <w:sz w:val="24"/>
        </w:rPr>
        <w:t>Η δαπάνη για την παροχή υπηρεσιών καθαριότητας για τα τμήματα 1 έως 4 υπολογίστηκε για 24 μήνες από τη λήξη των εν ισχύ συμβάσεων, ήτοι 1/4/2024 έως 31/3/2026 και για το τμήμα 5 υπολογίστηκε για τριάντα τέσσερις 34 μήνες, ήτοι από 1/6/2023 έως 31/3/2026.</w:t>
      </w:r>
    </w:p>
    <w:p>
      <w:pPr>
        <w:pStyle w:val="Normalwithoutspacing"/>
        <w:spacing w:lineRule="auto" w:line="276"/>
        <w:rPr/>
      </w:pPr>
      <w:r>
        <w:rPr>
          <w:rFonts w:eastAsia="Arial Unicode MS" w:cs="Calibri"/>
          <w:sz w:val="24"/>
        </w:rPr>
        <w:t xml:space="preserve">Οι παρεχόμενες υπηρεσίες κατατάσσονται στον ακόλουθο κωδικό του Κοινού Λεξιλογίου δημοσίων συμβάσεων </w:t>
      </w:r>
      <w:r>
        <w:rPr>
          <w:rFonts w:eastAsia="Arial Unicode MS" w:cs="Calibri"/>
          <w:b/>
          <w:bCs/>
          <w:sz w:val="24"/>
        </w:rPr>
        <w:t xml:space="preserve">(CPV): 90919200-4: </w:t>
      </w:r>
      <w:r>
        <w:rPr>
          <w:rFonts w:eastAsia="Arial Unicode MS" w:cs="Calibri"/>
          <w:sz w:val="24"/>
        </w:rPr>
        <w:t>Υπηρεσίες καθαρισμού Γραφείων. Για τον εν λόγω ΚΑΕ απαιτείται έγκριση ανάληψης πολυετών υποχρεώσεων από το εποπτεύον Υπουργείο</w:t>
      </w:r>
    </w:p>
    <w:p>
      <w:pPr>
        <w:pStyle w:val="Normalwithoutspacing"/>
        <w:widowControl/>
        <w:numPr>
          <w:ilvl w:val="0"/>
          <w:numId w:val="9"/>
        </w:numPr>
        <w:suppressAutoHyphens w:val="true"/>
        <w:bidi w:val="0"/>
        <w:spacing w:lineRule="auto" w:line="276" w:before="0" w:after="60"/>
        <w:ind w:left="0" w:right="0" w:hanging="397"/>
        <w:jc w:val="both"/>
        <w:rPr/>
      </w:pPr>
      <w:r>
        <w:rPr>
          <w:rFonts w:eastAsia="Arial Unicode MS" w:cs="Calibri"/>
          <w:bCs/>
          <w:iCs/>
          <w:sz w:val="24"/>
        </w:rPr>
        <w:t xml:space="preserve"> </w:t>
      </w:r>
      <w:r>
        <w:rPr>
          <w:rFonts w:eastAsia="Arial Unicode MS" w:cs="Calibri"/>
          <w:bCs/>
          <w:iCs/>
          <w:sz w:val="24"/>
        </w:rPr>
        <w:t xml:space="preserve">Την </w:t>
      </w:r>
      <w:r>
        <w:rPr>
          <w:sz w:val="24"/>
        </w:rPr>
        <w:t xml:space="preserve">υπ΄αριθ.: 192/Συν.17/27-04-2023 (ΑΔΑ:ΨΜΧ646ΜΑΠΣ-47Ρ &amp; ΑΔΑΜ: 23REQ012857497) Απόφαση του Δ.Σ. του e-Ε.Φ.Κ.Α, με την οποία εγκρίθηκε πίστωση συνολικής προϋπολογισθείσας δαπάνης #453.643,60€# (τετρακοσίων πενήντα τριών χιλιάδων εξακοσίων σαράντα τριών ευρώ και εξήντα λεπτών) πλέον ΦΠΑ ή #562.518,06€# (πεντακοσίων εξήντα δύο χιλιάδων πεντακοσίων δεκαοκτώ ευρώ και έξι λεπτών) συμπ/νου του ΦΠΑ 24%, για τη διενέργεια: </w:t>
      </w:r>
    </w:p>
    <w:p>
      <w:pPr>
        <w:pStyle w:val="Normalwithoutspacing"/>
        <w:widowControl/>
        <w:suppressAutoHyphens w:val="true"/>
        <w:bidi w:val="0"/>
        <w:spacing w:lineRule="auto" w:line="276" w:before="0" w:after="60"/>
        <w:ind w:left="-57" w:right="0" w:hanging="0"/>
        <w:jc w:val="both"/>
        <w:rPr/>
      </w:pPr>
      <w:r>
        <w:rPr>
          <w:b/>
          <w:sz w:val="24"/>
        </w:rPr>
        <w:t>Α) ανοικτού ηλεκτρονικού διαγωνισμού</w:t>
      </w:r>
      <w:r>
        <w:rPr>
          <w:sz w:val="24"/>
        </w:rPr>
        <w:t xml:space="preserve"> άνω των ορίων, σύμφωνα με το άρθρο 27 του Ν. 4412/2016 με αντικείμενο την παροχή υπηρεσιών καθαριότητας στα κτίρια που στεγάζουν τις Υπηρεσίες του e-ΕΦΚΑ Λάρισας, Βόλου, Καρδίτσας και Τρικάλων, αρμοδιότητας της Π.Υ.Σ.Υ. Θεσσαλίας, των τμημάτων 1 έως και 4, για χρονικό διάστημα είκοσι τεσσάρων (24) μηνών από την υπογραφή των συμβάσεων και με μονομερές δικαίωμα του Φορέα για παράταση των υπηρεσιών μέχρι δώδεκα (12) επιπλέον μηνών με τους ίδιους όρους, με κριτήριο κατακύρωσης την πλέον συμφέρουσα από οικονομική άποψη προσφορά βάσει τιμής,  συνολικής προϋπολογισθείσας δαπάνης #425.307,60€# πλέον ΦΠΑ ή #527.381,42€# συμπ/νου του ΦΠΑ 24%. </w:t>
      </w:r>
    </w:p>
    <w:p>
      <w:pPr>
        <w:pStyle w:val="Normalwithoutspacing"/>
        <w:widowControl/>
        <w:suppressAutoHyphens w:val="true"/>
        <w:bidi w:val="0"/>
        <w:spacing w:lineRule="auto" w:line="276" w:before="0" w:after="60"/>
        <w:ind w:left="-57" w:right="0" w:hanging="0"/>
        <w:jc w:val="both"/>
        <w:rPr/>
      </w:pPr>
      <w:r>
        <w:rPr>
          <w:b/>
          <w:sz w:val="24"/>
        </w:rPr>
        <w:t>Β) διαγωνισμού απευθείας ανάθεσης</w:t>
      </w:r>
      <w:r>
        <w:rPr>
          <w:sz w:val="24"/>
        </w:rPr>
        <w:t xml:space="preserve"> του άρθρου 118 του Ν. 4412/2016, ως ισχύει κατ΄ εφαρμογή της παρέκκλισης του άρθρου 6 παρ. 10 του Ν. 4412/2016 με αντικείμενο την παροχή υπηρεσιών καθαριότητας στα κτίρια που στεγάζουν τις Υπηρεσίες του e-ΕΦΚΑ των νησιών Σκιάθου και Σκοπέλου, ήτοι των Αποκεντρωμένων Τμημάτων Α΄ Κοινωνικής Ασφάλισης Σκιάθου και Β΄ Κοινωνικής Ασφάλισης Σκοπέλου της Τοπικής Διεύθυνσης Β΄ Μαγνησίας, αρμοδιότητας της Π.Υ.Σ.Υ. Θεσσαλίας του τμήματος 5, χρονικής διάρκειας τριάντα τεσσάρων (34) μηνών και με μονομερές δικαίωμα του Φορέα για παράταση των υπηρεσιών μέχρι δώδεκα (12) επιπλέον μηνών με τους ίδιους όρους, με κριτήριο ανάθεσης την πλέον συμφέρουσα από οικονομική άποψη προσφορά βάσει τιμής, προϋπολογισθείσας δαπάνης #28.336,00€# πλέον ΦΠΑ ή #35.136,64€# συμπ/νου του ΦΠΑ 24%. </w:t>
      </w:r>
    </w:p>
    <w:p>
      <w:pPr>
        <w:pStyle w:val="Normalwithoutspacing"/>
        <w:widowControl/>
        <w:numPr>
          <w:ilvl w:val="0"/>
          <w:numId w:val="9"/>
        </w:numPr>
        <w:suppressAutoHyphens w:val="true"/>
        <w:bidi w:val="0"/>
        <w:spacing w:lineRule="auto" w:line="276" w:before="0" w:after="60"/>
        <w:ind w:left="-113" w:right="0" w:hanging="397"/>
        <w:jc w:val="both"/>
        <w:rPr/>
      </w:pPr>
      <w:r>
        <w:rPr>
          <w:sz w:val="24"/>
        </w:rPr>
        <w:t>Την υπ’ αριθ. πρωτ.:</w:t>
      </w:r>
      <w:r>
        <w:rPr>
          <w:b/>
          <w:bCs/>
          <w:sz w:val="24"/>
        </w:rPr>
        <w:t xml:space="preserve"> 56896/09-06-2023 (ΑΔΑ:697Ι46ΜΤΛΚ-ΥΓΥ) </w:t>
      </w:r>
      <w:r>
        <w:rPr>
          <w:sz w:val="24"/>
        </w:rPr>
        <w:t>Απόφαση του Υπουργού Εργασίας και Κοινωνικών Υποθέσεων περί έγκρισης Ανάληψης πολυετούς υποχρέωσης.</w:t>
      </w:r>
    </w:p>
    <w:p>
      <w:pPr>
        <w:pStyle w:val="Normalwithoutspacing"/>
        <w:widowControl/>
        <w:numPr>
          <w:ilvl w:val="0"/>
          <w:numId w:val="9"/>
        </w:numPr>
        <w:suppressAutoHyphens w:val="true"/>
        <w:bidi w:val="0"/>
        <w:spacing w:lineRule="auto" w:line="276" w:before="0" w:after="60"/>
        <w:ind w:left="-113" w:right="0" w:hanging="397"/>
        <w:jc w:val="both"/>
        <w:rPr/>
      </w:pPr>
      <w:r>
        <w:rPr>
          <w:sz w:val="24"/>
        </w:rPr>
        <w:t>Την  υπ΄ αριθμ.</w:t>
      </w:r>
      <w:r>
        <w:rPr>
          <w:b/>
          <w:bCs/>
          <w:sz w:val="24"/>
        </w:rPr>
        <w:t xml:space="preserve"> Μ 596/14-6-2023  (ΑΔΑ:ΩΧΘ746ΜΑΠΣ-ΩΚΝ &amp; ΑΔΑΜ: 23REQ012881360)</w:t>
      </w:r>
      <w:r>
        <w:rPr>
          <w:sz w:val="24"/>
        </w:rPr>
        <w:t xml:space="preserve"> Απόφαση έγκρισης ανάληψης πολυετούς υποχρέωσης συνολικής προϋπολογισθείσας δαπάνης #453.643,60€# πλέον ΦΠΑ ή #562.518,06€# συμπ/νου του ΦΠΑ 24% στον ΚΑΕ 0845 του προϋπολογισμού του e-ΕΦΚΑ των ετών 2023, 2024, 2025, 2026 και 2027.</w:t>
      </w:r>
    </w:p>
    <w:p>
      <w:pPr>
        <w:pStyle w:val="Normalwithoutspacing"/>
        <w:widowControl/>
        <w:numPr>
          <w:ilvl w:val="0"/>
          <w:numId w:val="9"/>
        </w:numPr>
        <w:suppressAutoHyphens w:val="true"/>
        <w:bidi w:val="0"/>
        <w:spacing w:lineRule="auto" w:line="276" w:before="0" w:after="60"/>
        <w:ind w:left="-113" w:right="0" w:hanging="397"/>
        <w:jc w:val="both"/>
        <w:rPr>
          <w:sz w:val="24"/>
        </w:rPr>
      </w:pPr>
      <w:r>
        <w:rPr>
          <w:sz w:val="24"/>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pPr>
        <w:pStyle w:val="Normalwithoutspacing"/>
        <w:widowControl/>
        <w:numPr>
          <w:ilvl w:val="0"/>
          <w:numId w:val="9"/>
        </w:numPr>
        <w:suppressAutoHyphens w:val="true"/>
        <w:bidi w:val="0"/>
        <w:spacing w:lineRule="auto" w:line="276" w:before="0" w:after="60"/>
        <w:ind w:left="-113" w:right="0" w:hanging="397"/>
        <w:jc w:val="both"/>
        <w:rPr>
          <w:rFonts w:eastAsia="Arial Unicode MS" w:cs="Calibri"/>
          <w:sz w:val="24"/>
        </w:rPr>
      </w:pPr>
      <w:r>
        <w:rPr>
          <w:rFonts w:eastAsia="Arial Unicode MS" w:cs="Calibri"/>
          <w:sz w:val="24"/>
        </w:rPr>
        <w:t xml:space="preserve">Την ανάγκη διασφάλισης της αδιάλειπτης παροχής υπηρεσιών καθαριότητας σε όλες τις δομές αρμοδιότητας της ΠΥΣΥ Θεσσαλίας. </w:t>
      </w:r>
    </w:p>
    <w:p>
      <w:pPr>
        <w:pStyle w:val="Normal"/>
        <w:tabs>
          <w:tab w:val="clear" w:pos="720"/>
          <w:tab w:val="left" w:pos="284" w:leader="none"/>
        </w:tabs>
        <w:spacing w:lineRule="auto" w:line="276" w:before="0" w:after="0"/>
        <w:ind w:left="-76" w:right="0" w:hanging="0"/>
        <w:rPr>
          <w:rFonts w:ascii="Calibri" w:hAnsi="Calibri" w:eastAsia="Arial Unicode MS" w:cs="Calibri"/>
          <w:iCs/>
          <w:sz w:val="24"/>
          <w:lang w:val="el-GR"/>
        </w:rPr>
      </w:pPr>
      <w:r>
        <w:rPr>
          <w:rFonts w:eastAsia="Arial Unicode MS" w:cs="Calibri"/>
          <w:iCs/>
          <w:sz w:val="24"/>
          <w:lang w:val="el-GR"/>
        </w:rPr>
      </w:r>
    </w:p>
    <w:p>
      <w:pPr>
        <w:pStyle w:val="2"/>
        <w:spacing w:lineRule="auto" w:line="276" w:before="0" w:after="0"/>
        <w:ind w:left="207" w:right="0" w:hanging="567"/>
        <w:rPr/>
      </w:pPr>
      <w:bookmarkStart w:id="18" w:name="__RefHeading___Toc35543_1890191151"/>
      <w:bookmarkStart w:id="19" w:name="_Toc492539440"/>
      <w:bookmarkStart w:id="20" w:name="_Toc58242643"/>
      <w:bookmarkEnd w:id="18"/>
      <w:r>
        <w:rPr>
          <w:rFonts w:eastAsia="Arial Unicode MS" w:cs="Calibri" w:ascii="Calibri" w:hAnsi="Calibri"/>
          <w:sz w:val="24"/>
          <w:szCs w:val="24"/>
          <w:lang w:val="el-GR"/>
        </w:rPr>
        <w:t>1.5</w:t>
        <w:tab/>
        <w:t>Προθεσμία παραλαβής προσφορών και διενέργεια διαγωνισμού</w:t>
      </w:r>
      <w:bookmarkEnd w:id="19"/>
      <w:bookmarkEnd w:id="20"/>
      <w:r>
        <w:rPr>
          <w:rFonts w:eastAsia="Arial Unicode MS" w:cs="Calibri" w:ascii="Calibri" w:hAnsi="Calibri"/>
          <w:sz w:val="24"/>
          <w:szCs w:val="24"/>
          <w:lang w:val="el-GR"/>
        </w:rPr>
        <w:t xml:space="preserve"> </w:t>
      </w:r>
    </w:p>
    <w:p>
      <w:pPr>
        <w:pStyle w:val="Normal"/>
        <w:spacing w:lineRule="auto" w:line="276" w:before="0" w:after="0"/>
        <w:rPr/>
      </w:pPr>
      <w:r>
        <w:rPr>
          <w:rFonts w:eastAsia="Arial Unicode MS" w:cs="Calibri"/>
          <w:color w:val="000000"/>
          <w:sz w:val="24"/>
          <w:lang w:val="el-GR" w:eastAsia="el-GR"/>
        </w:rPr>
        <w:t xml:space="preserve">Η καταληκτική ημερομηνία παραλαβής των προσφορών είναι η </w:t>
      </w:r>
      <w:r>
        <w:rPr>
          <w:rFonts w:eastAsia="Arial Unicode MS" w:cs="Calibri"/>
          <w:b/>
          <w:bCs/>
          <w:color w:val="000000"/>
          <w:sz w:val="24"/>
          <w:lang w:val="el-GR" w:eastAsia="el-GR"/>
        </w:rPr>
        <w:t>25-08-2023 ημέρα Παρασκευή και ώρα 15:00 μ.μ.</w:t>
      </w:r>
    </w:p>
    <w:p>
      <w:pPr>
        <w:pStyle w:val="Normal"/>
        <w:spacing w:lineRule="auto" w:line="276" w:before="0" w:after="0"/>
        <w:rPr/>
      </w:pPr>
      <w:r>
        <w:rPr>
          <w:rFonts w:eastAsia="Arial Unicode MS" w:cs="Calibri"/>
          <w:sz w:val="24"/>
          <w:lang w:val="el-GR" w:eastAsia="el-GR"/>
        </w:rPr>
        <w:t xml:space="preserve">Η διαδικασία θα διενεργηθεί με χρήση της πλατφόρμας του Εθνικού Συστήματος Ηλεκτρονικών Δημοσίων Συμβάσεων (ΕΣΗΔΗΣ) Προμήθειες και Υπηρεσίες του ΟΠΣ ΕΣΗΔΗΣ, η οποία είναι προσβάσιμη μέσω της Διαδικτυακής πύλης </w:t>
      </w:r>
      <w:r>
        <w:rPr>
          <w:rFonts w:eastAsia="Arial Unicode MS" w:cs="Calibri"/>
          <w:sz w:val="24"/>
          <w:u w:val="single"/>
          <w:lang w:val="el-GR" w:eastAsia="el-GR"/>
        </w:rPr>
        <w:t>www.promitheus.gov.gr</w:t>
      </w:r>
      <w:r>
        <w:rPr>
          <w:rFonts w:eastAsia="Arial Unicode MS" w:cs="Calibri"/>
          <w:sz w:val="24"/>
          <w:lang w:val="el-GR" w:eastAsia="el-GR"/>
        </w:rPr>
        <w:t xml:space="preserve">, </w:t>
      </w:r>
      <w:r>
        <w:rPr>
          <w:rFonts w:eastAsia="Arial Unicode MS" w:cs="Calibri"/>
          <w:color w:val="000000"/>
          <w:sz w:val="24"/>
          <w:lang w:val="el-GR" w:eastAsia="el-GR"/>
        </w:rPr>
        <w:t xml:space="preserve">την </w:t>
      </w:r>
      <w:r>
        <w:rPr>
          <w:rFonts w:eastAsia="Arial Unicode MS" w:cs="Tahoma"/>
          <w:b/>
          <w:color w:val="auto"/>
          <w:sz w:val="24"/>
          <w:szCs w:val="24"/>
          <w:lang w:val="el-GR" w:eastAsia="el-GR"/>
        </w:rPr>
        <w:t xml:space="preserve"> 30</w:t>
      </w:r>
      <w:r>
        <w:rPr>
          <w:rFonts w:eastAsia="Arial Unicode MS" w:cs="Tahoma"/>
          <w:b/>
          <w:bCs/>
          <w:color w:val="auto"/>
          <w:sz w:val="24"/>
          <w:szCs w:val="24"/>
          <w:lang w:val="el-GR" w:eastAsia="el-GR"/>
        </w:rPr>
        <w:t>/08/20203 ημέρα Τετάρτη και ώρα</w:t>
      </w:r>
      <w:r>
        <w:rPr>
          <w:rFonts w:eastAsia="Arial Unicode MS" w:cs="Tahoma"/>
          <w:b/>
          <w:color w:val="auto"/>
          <w:sz w:val="24"/>
          <w:szCs w:val="24"/>
          <w:lang w:val="el-GR" w:eastAsia="el-GR"/>
        </w:rPr>
        <w:t xml:space="preserve"> 10:00 π.μ.</w:t>
      </w:r>
    </w:p>
    <w:p>
      <w:pPr>
        <w:pStyle w:val="Normal"/>
        <w:spacing w:lineRule="auto" w:line="276" w:before="0" w:after="0"/>
        <w:rPr>
          <w:rFonts w:ascii="Calibri" w:hAnsi="Calibri" w:eastAsia="Arial Unicode MS" w:cs="Calibri"/>
          <w:b/>
          <w:b/>
          <w:sz w:val="24"/>
          <w:lang w:val="el-GR" w:eastAsia="el-GR"/>
        </w:rPr>
      </w:pPr>
      <w:r>
        <w:rPr>
          <w:rFonts w:eastAsia="Arial Unicode MS" w:cs="Calibri"/>
          <w:b/>
          <w:sz w:val="24"/>
          <w:lang w:val="el-GR" w:eastAsia="el-GR"/>
        </w:rPr>
      </w:r>
    </w:p>
    <w:p>
      <w:pPr>
        <w:pStyle w:val="2"/>
        <w:spacing w:lineRule="auto" w:line="276" w:before="0" w:after="0"/>
        <w:ind w:left="0" w:right="0" w:hanging="425"/>
        <w:rPr>
          <w:rFonts w:ascii="Calibri" w:hAnsi="Calibri" w:eastAsia="Arial Unicode MS" w:cs="Calibri"/>
          <w:sz w:val="24"/>
          <w:szCs w:val="24"/>
          <w:lang w:val="el-GR"/>
        </w:rPr>
      </w:pPr>
      <w:bookmarkStart w:id="21" w:name="__RefHeading___Toc35545_1890191151"/>
      <w:bookmarkStart w:id="22" w:name="_Toc58242644"/>
      <w:bookmarkStart w:id="23" w:name="_Toc492539441"/>
      <w:bookmarkEnd w:id="21"/>
      <w:r>
        <w:rPr>
          <w:rFonts w:eastAsia="Arial Unicode MS" w:cs="Calibri" w:ascii="Calibri" w:hAnsi="Calibri"/>
          <w:sz w:val="24"/>
          <w:szCs w:val="24"/>
          <w:lang w:val="el-GR"/>
        </w:rPr>
        <w:t>1.6</w:t>
        <w:tab/>
        <w:t>Δημοσιότητα</w:t>
      </w:r>
      <w:bookmarkEnd w:id="22"/>
      <w:bookmarkEnd w:id="23"/>
    </w:p>
    <w:p>
      <w:pPr>
        <w:pStyle w:val="Normal"/>
        <w:spacing w:lineRule="auto" w:line="276"/>
        <w:rPr/>
      </w:pPr>
      <w:r>
        <w:rPr>
          <w:rFonts w:eastAsia="Arial Unicode MS" w:cs="Calibri"/>
          <w:b/>
          <w:sz w:val="24"/>
          <w:lang w:val="el-GR"/>
        </w:rPr>
        <w:t xml:space="preserve">Α. </w:t>
        <w:tab/>
        <w:t xml:space="preserve">Δημοσίευση στην Επίσημη Εφημερίδα της Ευρωπαϊκής  </w:t>
      </w:r>
      <w:r>
        <w:rPr>
          <w:b/>
          <w:sz w:val="24"/>
          <w:lang w:val="el-GR"/>
        </w:rPr>
        <w:t>Ένωσης</w:t>
      </w:r>
      <w:r>
        <w:rPr>
          <w:rStyle w:val="Style14"/>
          <w:rStyle w:val="Style14"/>
          <w:sz w:val="24"/>
        </w:rPr>
        <w:footnoteReference w:id="2"/>
      </w:r>
      <w:r>
        <w:rPr>
          <w:b/>
          <w:sz w:val="24"/>
          <w:lang w:val="el-GR"/>
        </w:rPr>
        <w:t xml:space="preserve"> </w:t>
      </w:r>
    </w:p>
    <w:p>
      <w:pPr>
        <w:pStyle w:val="Normal"/>
        <w:spacing w:lineRule="auto" w:line="276" w:before="0" w:after="0"/>
        <w:ind w:left="0" w:right="0" w:hanging="425"/>
        <w:rPr>
          <w:rFonts w:eastAsia="Arial Unicode MS" w:cs="Calibri"/>
          <w:b/>
          <w:b/>
          <w:sz w:val="24"/>
          <w:lang w:val="el-GR"/>
        </w:rPr>
      </w:pPr>
      <w:r>
        <w:rPr>
          <w:rFonts w:eastAsia="Arial Unicode MS" w:cs="Calibri"/>
          <w:b/>
          <w:sz w:val="24"/>
          <w:lang w:val="el-GR"/>
        </w:rPr>
        <w:t xml:space="preserve"> </w:t>
      </w:r>
    </w:p>
    <w:p>
      <w:pPr>
        <w:pStyle w:val="Normal"/>
        <w:suppressAutoHyphens w:val="false"/>
        <w:spacing w:lineRule="auto" w:line="276" w:before="0" w:after="0"/>
        <w:jc w:val="left"/>
        <w:rPr/>
      </w:pPr>
      <w:r>
        <w:rPr>
          <w:sz w:val="24"/>
          <w:lang w:val="el-GR"/>
        </w:rPr>
        <w:t>Προκήρυξη</w:t>
      </w:r>
      <w:r>
        <w:rPr>
          <w:rStyle w:val="Style14"/>
          <w:rStyle w:val="Style14"/>
          <w:sz w:val="24"/>
          <w:lang w:val="el-GR"/>
        </w:rPr>
        <w:footnoteReference w:id="3"/>
      </w:r>
      <w:r>
        <w:rPr>
          <w:sz w:val="24"/>
          <w:lang w:val="el-GR"/>
        </w:rPr>
        <w:t xml:space="preserve">  </w:t>
      </w:r>
      <w:r>
        <w:rPr>
          <w:rFonts w:eastAsia="Arial Unicode MS" w:cs="Calibri"/>
          <w:sz w:val="24"/>
          <w:lang w:val="el-GR"/>
        </w:rPr>
        <w:t>της παρούσας σύμβασης απεστάλη με ηλεκτρονικά μέσα για δημοσίευση στις 11</w:t>
      </w:r>
      <w:r>
        <w:rPr>
          <w:rFonts w:eastAsia="Arial Unicode MS" w:cs="Calibri"/>
          <w:b/>
          <w:color w:val="000000"/>
          <w:sz w:val="24"/>
          <w:lang w:val="el-GR"/>
        </w:rPr>
        <w:t xml:space="preserve">-07-2023 </w:t>
      </w:r>
      <w:r>
        <w:rPr>
          <w:rFonts w:eastAsia="Arial Unicode MS" w:cs="Calibri"/>
          <w:sz w:val="24"/>
          <w:lang w:val="el-GR"/>
        </w:rPr>
        <w:t xml:space="preserve">στην Υπηρεσία Εκδόσεων της Ευρωπαϊκής Ένωσης </w:t>
      </w:r>
      <w:r>
        <w:rPr>
          <w:sz w:val="24"/>
          <w:lang w:val="el-GR"/>
        </w:rPr>
        <w:t xml:space="preserve">με αριθμό αναφοράς: </w:t>
      </w:r>
      <w:r>
        <w:rPr>
          <w:color w:val="auto"/>
          <w:sz w:val="24"/>
          <w:lang w:val="el-GR"/>
        </w:rPr>
        <w:t>2023/</w:t>
      </w:r>
      <w:r>
        <w:rPr>
          <w:color w:val="auto"/>
          <w:sz w:val="24"/>
        </w:rPr>
        <w:t>S</w:t>
      </w:r>
      <w:r>
        <w:rPr>
          <w:color w:val="auto"/>
          <w:sz w:val="24"/>
          <w:lang w:val="el-GR"/>
        </w:rPr>
        <w:t xml:space="preserve"> 134-426962 (ΑΔΑΜ: 23PROC013083096</w:t>
      </w:r>
      <w:bookmarkStart w:id="24" w:name="__DdeLink__36822_1890191151"/>
      <w:bookmarkEnd w:id="24"/>
      <w:r>
        <w:rPr>
          <w:color w:val="auto"/>
          <w:sz w:val="24"/>
          <w:lang w:val="el-GR"/>
        </w:rPr>
        <w:t xml:space="preserve"> )</w:t>
      </w:r>
    </w:p>
    <w:p>
      <w:pPr>
        <w:pStyle w:val="Normal"/>
        <w:suppressAutoHyphens w:val="false"/>
        <w:spacing w:lineRule="auto" w:line="276" w:before="0" w:after="0"/>
        <w:jc w:val="left"/>
        <w:rPr>
          <w:color w:val="FF0000"/>
          <w:sz w:val="24"/>
          <w:lang w:val="el-GR"/>
        </w:rPr>
      </w:pPr>
      <w:r>
        <w:rPr>
          <w:color w:val="FF0000"/>
          <w:sz w:val="24"/>
          <w:lang w:val="el-GR"/>
        </w:rPr>
      </w:r>
    </w:p>
    <w:p>
      <w:pPr>
        <w:pStyle w:val="Normal"/>
        <w:spacing w:lineRule="auto" w:line="276"/>
        <w:ind w:left="0" w:right="0" w:hanging="425"/>
        <w:rPr/>
      </w:pPr>
      <w:r>
        <w:rPr>
          <w:rFonts w:eastAsia="Arial Unicode MS" w:cs="Calibri"/>
          <w:b/>
          <w:sz w:val="24"/>
          <w:lang w:val="el-GR"/>
        </w:rPr>
        <w:t>Β.</w:t>
        <w:tab/>
        <w:t xml:space="preserve">Δημοσίευση σε εθνικό </w:t>
      </w:r>
      <w:r>
        <w:rPr>
          <w:b/>
          <w:sz w:val="24"/>
          <w:lang w:val="el-GR"/>
        </w:rPr>
        <w:t xml:space="preserve">επίπεδο </w:t>
      </w:r>
      <w:r>
        <w:rPr>
          <w:rStyle w:val="Style14"/>
          <w:rStyle w:val="Style14"/>
          <w:b/>
          <w:sz w:val="24"/>
        </w:rPr>
        <w:footnoteReference w:id="4"/>
      </w:r>
    </w:p>
    <w:p>
      <w:pPr>
        <w:pStyle w:val="Normal"/>
        <w:spacing w:lineRule="auto" w:line="276" w:before="0" w:after="0"/>
        <w:rPr/>
      </w:pPr>
      <w:r>
        <w:rPr>
          <w:rFonts w:eastAsia="Arial Unicode MS" w:cs="Calibri"/>
          <w:b/>
          <w:sz w:val="24"/>
          <w:lang w:val="el-GR"/>
        </w:rPr>
        <w:t xml:space="preserve"> </w:t>
      </w:r>
      <w:r>
        <w:rPr>
          <w:rFonts w:eastAsia="Arial Unicode MS" w:cs="Calibri"/>
          <w:sz w:val="24"/>
          <w:lang w:val="el-GR"/>
        </w:rPr>
        <w:t>Η προκήρυξη</w:t>
      </w:r>
      <w:r>
        <w:rPr>
          <w:rStyle w:val="Style14"/>
          <w:rStyle w:val="Style14"/>
          <w:rFonts w:eastAsia="Arial Unicode MS"/>
          <w:b/>
          <w:sz w:val="24"/>
          <w:lang w:val="el-GR"/>
        </w:rPr>
        <w:footnoteReference w:id="5"/>
      </w:r>
      <w:r>
        <w:rPr>
          <w:rStyle w:val="Style14"/>
          <w:rFonts w:eastAsia="Arial Unicode MS"/>
          <w:b/>
          <w:sz w:val="24"/>
          <w:lang w:val="el-GR"/>
        </w:rPr>
        <w:t xml:space="preserve"> </w:t>
      </w:r>
      <w:r>
        <w:rPr>
          <w:rFonts w:eastAsia="Arial Unicode MS" w:cs="Calibri"/>
          <w:sz w:val="24"/>
          <w:lang w:val="el-GR"/>
        </w:rPr>
        <w:t>και το πλήρες κείμενο της παρούσας Διακήρυξης καταχωρήθηκαν στο Κεντρικό Ηλεκτρονικό Μητρώο Δημοσίων Συμβάσεων (ΚΗΜΔΗΣ).</w:t>
      </w:r>
    </w:p>
    <w:p>
      <w:pPr>
        <w:pStyle w:val="Normal"/>
        <w:widowControl/>
        <w:suppressAutoHyphens w:val="true"/>
        <w:bidi w:val="0"/>
        <w:spacing w:lineRule="auto" w:line="276" w:before="0" w:after="120"/>
        <w:ind w:left="0" w:right="0" w:hanging="0"/>
        <w:jc w:val="both"/>
        <w:rPr/>
      </w:pPr>
      <w:r>
        <w:rPr>
          <w:rFonts w:eastAsia="Arial Unicode MS" w:cs="Calibri"/>
          <w:sz w:val="24"/>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r>
        <w:rPr>
          <w:rFonts w:eastAsia="Arial Unicode MS" w:cs="Calibri"/>
          <w:b/>
          <w:bCs/>
          <w:sz w:val="24"/>
          <w:lang w:val="el-GR"/>
        </w:rPr>
        <w:t>Συστημικό Αύξοντα Αριθμό 143718</w:t>
      </w:r>
      <w:r>
        <w:rPr>
          <w:rFonts w:eastAsia="Arial Unicode MS" w:cs="Calibri"/>
          <w:sz w:val="24"/>
          <w:lang w:val="el-GR"/>
        </w:rPr>
        <w:t xml:space="preserve">  και αναρτήθηκαν στη Διαδικτυακή Πύλη (www.promitheus.gov.gr ) του ΟΠΣ ΕΣΗΔΗΣ.</w:t>
      </w:r>
    </w:p>
    <w:p>
      <w:pPr>
        <w:pStyle w:val="Normal"/>
        <w:spacing w:lineRule="auto" w:line="276"/>
        <w:rPr/>
      </w:pPr>
      <w:r>
        <w:rPr>
          <w:rFonts w:eastAsia="Arial Unicode MS" w:cs="Calibri"/>
          <w:sz w:val="24"/>
          <w:lang w:val="el-GR"/>
        </w:rPr>
        <w:t>Περίληψη της παρούσας Διακήρυξης δημοσιεύεται στον Ελληνικό Τύπο</w:t>
      </w:r>
      <w:bookmarkStart w:id="25" w:name="%25252525252525252525CE%2525252525252525"/>
      <w:bookmarkEnd w:id="25"/>
      <w:r>
        <w:rPr>
          <w:rStyle w:val="Style14"/>
          <w:rStyle w:val="Style14"/>
          <w:rFonts w:eastAsia="Arial Unicode MS"/>
          <w:b/>
          <w:sz w:val="24"/>
          <w:lang w:val="el-GR"/>
        </w:rPr>
        <w:footnoteReference w:id="6"/>
      </w:r>
      <w:r>
        <w:rPr>
          <w:rStyle w:val="Style14"/>
          <w:rStyle w:val="Style14"/>
          <w:rFonts w:eastAsia="Arial Unicode MS"/>
          <w:b/>
          <w:sz w:val="24"/>
          <w:lang w:val="el-GR"/>
        </w:rPr>
        <w:footnoteReference w:id="7"/>
      </w:r>
      <w:r>
        <w:rPr>
          <w:rStyle w:val="Style14"/>
          <w:rStyle w:val="Style14"/>
          <w:rFonts w:eastAsia="Arial Unicode MS"/>
          <w:b/>
          <w:sz w:val="24"/>
          <w:lang w:val="el-GR"/>
        </w:rPr>
        <w:footnoteReference w:id="8"/>
      </w:r>
      <w:r>
        <w:rPr>
          <w:rStyle w:val="Style14"/>
          <w:rFonts w:eastAsia="Arial Unicode MS"/>
          <w:b/>
          <w:sz w:val="24"/>
          <w:lang w:val="el-GR"/>
        </w:rPr>
        <w:t xml:space="preserve"> </w:t>
      </w:r>
      <w:r>
        <w:rPr>
          <w:rFonts w:eastAsia="Arial Unicode MS" w:cs="Calibri"/>
          <w:sz w:val="24"/>
          <w:lang w:val="el-GR"/>
        </w:rPr>
        <w:t>σύμφωνα με το άρθρο 66 του ν. 4412/2016.Συγκεκριμένα: Η υποχρέωση δημοσίευσης σε μία τοπική εφημερίδα του ν.3548/2007 και σε μία νομαρχιακή (νυν «περιφερειακή» κατά το άρθρο 16 του ν. 4487/2017) που προβλέπεται στο άρθρο 4 του π.δ. 118/2007 / άρθρο 5 του ΕΚΠΟΤΑ, συνεχίζει να υφίσταται μέχρι και την 31/12/2023, οπότε και καταργείται (άρθρο 377 παρ. 1 πρ. (35) και άρθρο 379 παρ. 12 ν. 4412/2016, όπως τροποποιήθηκε με το άρθρο 245 του ν. 4782/2021.</w:t>
      </w:r>
    </w:p>
    <w:p>
      <w:pPr>
        <w:pStyle w:val="Normal"/>
        <w:spacing w:lineRule="auto" w:line="276"/>
        <w:rPr/>
      </w:pPr>
      <w:r>
        <w:rPr>
          <w:rFonts w:eastAsia="Arial Unicode MS" w:cs="Calibri"/>
          <w:sz w:val="24"/>
          <w:lang w:val="el-GR"/>
        </w:rPr>
        <w:t xml:space="preserve">Η Διακήρυξη θα καταχωρηθεί στο διαδίκτυο, στην ιστοσελίδα της αναθέτουσας αρχής, στη διεύθυνση (URL):  </w:t>
      </w:r>
      <w:hyperlink r:id="rId13">
        <w:r>
          <w:rPr>
            <w:rStyle w:val="Style7"/>
            <w:rFonts w:eastAsia="Arial Unicode MS" w:cs="Calibri"/>
            <w:sz w:val="24"/>
          </w:rPr>
          <w:t>www</w:t>
        </w:r>
      </w:hyperlink>
      <w:hyperlink r:id="rId14">
        <w:r>
          <w:rPr>
            <w:rStyle w:val="Style7"/>
            <w:rFonts w:eastAsia="Arial Unicode MS" w:cs="Calibri"/>
            <w:sz w:val="24"/>
            <w:lang w:val="el-GR"/>
          </w:rPr>
          <w:t>.</w:t>
        </w:r>
      </w:hyperlink>
      <w:hyperlink r:id="rId15">
        <w:r>
          <w:rPr>
            <w:rStyle w:val="Style7"/>
            <w:rFonts w:eastAsia="Arial Unicode MS" w:cs="Calibri"/>
            <w:sz w:val="24"/>
            <w:lang w:val="en-US"/>
          </w:rPr>
          <w:t>efka</w:t>
        </w:r>
      </w:hyperlink>
      <w:hyperlink r:id="rId16">
        <w:r>
          <w:rPr>
            <w:rStyle w:val="Style7"/>
            <w:rFonts w:eastAsia="Arial Unicode MS" w:cs="Calibri"/>
            <w:sz w:val="24"/>
            <w:lang w:val="el-GR"/>
          </w:rPr>
          <w:t>.</w:t>
        </w:r>
      </w:hyperlink>
      <w:hyperlink r:id="rId17">
        <w:r>
          <w:rPr>
            <w:rStyle w:val="Style7"/>
            <w:rFonts w:eastAsia="Arial Unicode MS" w:cs="Calibri"/>
            <w:sz w:val="24"/>
            <w:lang w:val="en-US"/>
          </w:rPr>
          <w:t>gov</w:t>
        </w:r>
      </w:hyperlink>
      <w:hyperlink r:id="rId18">
        <w:r>
          <w:rPr>
            <w:rStyle w:val="Style7"/>
            <w:rFonts w:eastAsia="Arial Unicode MS" w:cs="Calibri"/>
            <w:sz w:val="24"/>
            <w:lang w:val="el-GR"/>
          </w:rPr>
          <w:t>.</w:t>
        </w:r>
      </w:hyperlink>
      <w:hyperlink r:id="rId19">
        <w:r>
          <w:rPr>
            <w:rStyle w:val="Style7"/>
            <w:rFonts w:eastAsia="Arial Unicode MS" w:cs="Calibri"/>
            <w:sz w:val="24"/>
            <w:lang w:val="en-US"/>
          </w:rPr>
          <w:t>gr</w:t>
        </w:r>
      </w:hyperlink>
      <w:r>
        <w:rPr>
          <w:rStyle w:val="Style7"/>
          <w:rFonts w:eastAsia="Arial Unicode MS" w:cs="Calibri"/>
          <w:sz w:val="24"/>
          <w:lang w:val="el-GR"/>
        </w:rPr>
        <w:t xml:space="preserve"> </w:t>
      </w:r>
      <w:r>
        <w:rPr>
          <w:rFonts w:eastAsia="Arial Unicode MS" w:cs="Calibri"/>
          <w:sz w:val="24"/>
          <w:lang w:val="el-GR"/>
        </w:rPr>
        <w:t xml:space="preserve"> τη διαδρομή: Αρχική Σελίδα </w:t>
      </w:r>
      <w:r>
        <w:rPr>
          <w:rFonts w:eastAsia="Arial Unicode MS" w:cs="Arial"/>
          <w:sz w:val="24"/>
          <w:lang w:val="el-GR"/>
        </w:rPr>
        <w:t>►</w:t>
      </w:r>
      <w:r>
        <w:rPr>
          <w:rFonts w:eastAsia="Arial Unicode MS" w:cs="Calibri"/>
          <w:sz w:val="24"/>
          <w:lang w:val="el-GR"/>
        </w:rPr>
        <w:t xml:space="preserve"> </w:t>
      </w:r>
      <w:r>
        <w:rPr>
          <w:rFonts w:eastAsia="Arial Unicode MS"/>
          <w:sz w:val="24"/>
          <w:lang w:val="el-GR"/>
        </w:rPr>
        <w:t>Επικαιρότητα</w:t>
      </w:r>
      <w:r>
        <w:rPr>
          <w:rFonts w:eastAsia="Arial Unicode MS" w:cs="Calibri"/>
          <w:sz w:val="24"/>
          <w:lang w:val="el-GR"/>
        </w:rPr>
        <w:t xml:space="preserve"> </w:t>
      </w:r>
      <w:r>
        <w:rPr>
          <w:rFonts w:eastAsia="Arial Unicode MS" w:cs="Arial"/>
          <w:sz w:val="24"/>
          <w:lang w:val="el-GR"/>
        </w:rPr>
        <w:t>►</w:t>
      </w:r>
      <w:r>
        <w:rPr>
          <w:rFonts w:eastAsia="Arial Unicode MS" w:cs="Calibri"/>
          <w:sz w:val="24"/>
          <w:lang w:val="el-GR"/>
        </w:rPr>
        <w:t xml:space="preserve"> </w:t>
      </w:r>
      <w:r>
        <w:rPr>
          <w:rFonts w:eastAsia="Arial Unicode MS"/>
          <w:sz w:val="24"/>
          <w:lang w:val="el-GR"/>
        </w:rPr>
        <w:t>Διαγωνισμοί.</w:t>
      </w:r>
      <w:r>
        <w:rPr>
          <w:rFonts w:eastAsia="Arial Unicode MS" w:cs="Calibri"/>
          <w:sz w:val="24"/>
          <w:lang w:val="el-GR"/>
        </w:rPr>
        <w:t xml:space="preserve"> </w:t>
      </w:r>
    </w:p>
    <w:p>
      <w:pPr>
        <w:pStyle w:val="Normal"/>
        <w:spacing w:lineRule="auto" w:line="276"/>
        <w:rPr>
          <w:rFonts w:eastAsia="Arial Unicode MS" w:cs="Calibri"/>
          <w:sz w:val="24"/>
          <w:lang w:val="el-GR"/>
        </w:rPr>
      </w:pPr>
      <w:r>
        <w:rPr>
          <w:rFonts w:eastAsia="Arial Unicode MS" w:cs="Calibri"/>
          <w:sz w:val="24"/>
          <w:lang w:val="el-GR"/>
        </w:rPr>
      </w:r>
    </w:p>
    <w:p>
      <w:pPr>
        <w:pStyle w:val="Normal"/>
        <w:spacing w:lineRule="auto" w:line="276" w:before="0" w:after="0"/>
        <w:rPr>
          <w:rFonts w:eastAsia="Arial Unicode MS" w:cs="Calibri"/>
          <w:b/>
          <w:b/>
          <w:sz w:val="24"/>
          <w:lang w:val="el-GR" w:eastAsia="ar-SA"/>
        </w:rPr>
      </w:pPr>
      <w:r>
        <w:rPr>
          <w:rFonts w:eastAsia="Arial Unicode MS" w:cs="Calibri"/>
          <w:b/>
          <w:sz w:val="24"/>
          <w:lang w:val="el-GR" w:eastAsia="ar-SA"/>
        </w:rPr>
        <w:t>Γ. Έξοδα δημοσιεύσεων</w:t>
      </w:r>
    </w:p>
    <w:p>
      <w:pPr>
        <w:pStyle w:val="Normal"/>
        <w:spacing w:lineRule="auto" w:line="276"/>
        <w:rPr/>
      </w:pPr>
      <w:r>
        <w:rPr>
          <w:rFonts w:eastAsia="Arial Unicode MS" w:cs="Calibri"/>
          <w:sz w:val="24"/>
          <w:lang w:val="el-GR"/>
        </w:rPr>
        <w:t>Οι δαπάνες δημοσίευσης, καταβάλλονται από τον φορέα που έδωσε την εντολή καταχώρισης στην εφημερίδα, εντός των προθεσμιών του άρθρου 69 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r>
        <w:rPr>
          <w:rStyle w:val="Style14"/>
          <w:rStyle w:val="Style14"/>
          <w:rFonts w:eastAsia="Arial Unicode MS" w:cs="Calibri"/>
          <w:sz w:val="24"/>
          <w:lang w:val="el-GR"/>
        </w:rPr>
        <w:footnoteReference w:id="9"/>
      </w:r>
    </w:p>
    <w:p>
      <w:pPr>
        <w:pStyle w:val="Normal"/>
        <w:spacing w:lineRule="auto" w:line="276"/>
        <w:rPr/>
      </w:pPr>
      <w:r>
        <w:rPr>
          <w:rFonts w:eastAsia="Arial Unicode MS" w:cs="Calibri"/>
          <w:i/>
          <w:iCs/>
          <w:sz w:val="24"/>
          <w:lang w:val="el-GR"/>
        </w:rPr>
        <w:t>[Καθώς η σύμβαση</w:t>
      </w:r>
      <w:r>
        <w:rPr>
          <w:rFonts w:eastAsia="Arial Unicode MS" w:cs="Calibri"/>
          <w:i/>
          <w:sz w:val="24"/>
          <w:lang w:val="el-GR"/>
        </w:rPr>
        <w:t xml:space="preserve"> υποδιαιρείται σε τμήματα, οι αναθέτουσες αρχές επιμερίζουν τη δαπάνη δημοσιεύσεων, ανά τμήμα, αναλογικά και με βάση την εκτιμώμενη αξία κάθε τμήματος.]</w:t>
      </w:r>
    </w:p>
    <w:p>
      <w:pPr>
        <w:pStyle w:val="Normal"/>
        <w:spacing w:lineRule="auto" w:line="276" w:before="0" w:after="0"/>
        <w:rPr>
          <w:rFonts w:eastAsia="Arial Unicode MS" w:cs="Calibri"/>
          <w:i/>
          <w:i/>
          <w:sz w:val="24"/>
          <w:lang w:val="el-GR"/>
        </w:rPr>
      </w:pPr>
      <w:r>
        <w:rPr>
          <w:rFonts w:eastAsia="Arial Unicode MS" w:cs="Calibri"/>
          <w:i/>
          <w:sz w:val="24"/>
          <w:lang w:val="el-GR"/>
        </w:rPr>
      </w:r>
    </w:p>
    <w:p>
      <w:pPr>
        <w:pStyle w:val="Normal"/>
        <w:spacing w:lineRule="auto" w:line="276" w:before="0" w:after="0"/>
        <w:rPr>
          <w:rFonts w:ascii="Calibri" w:hAnsi="Calibri" w:eastAsia="Arial Unicode MS" w:cs="Calibri"/>
          <w:sz w:val="24"/>
          <w:lang w:val="el-GR" w:eastAsia="ar-SA"/>
        </w:rPr>
      </w:pPr>
      <w:r>
        <w:rPr>
          <w:rFonts w:eastAsia="Arial Unicode MS" w:cs="Calibri"/>
          <w:sz w:val="24"/>
          <w:lang w:val="el-GR" w:eastAsia="ar-SA"/>
        </w:rPr>
      </w:r>
    </w:p>
    <w:p>
      <w:pPr>
        <w:pStyle w:val="2"/>
        <w:spacing w:lineRule="auto" w:line="276" w:before="0" w:after="0"/>
        <w:ind w:left="207" w:right="0" w:hanging="567"/>
        <w:rPr/>
      </w:pPr>
      <w:bookmarkStart w:id="26" w:name="__RefHeading___Toc35547_1890191151"/>
      <w:bookmarkStart w:id="27" w:name="_Toc58242645"/>
      <w:bookmarkStart w:id="28" w:name="_Toc492539442"/>
      <w:bookmarkEnd w:id="26"/>
      <w:r>
        <w:rPr>
          <w:rFonts w:eastAsia="Arial Unicode MS" w:cs="Calibri" w:ascii="Calibri" w:hAnsi="Calibri"/>
          <w:sz w:val="24"/>
          <w:szCs w:val="24"/>
          <w:lang w:val="el-GR"/>
        </w:rPr>
        <w:t>1.7</w:t>
        <w:tab/>
        <w:t>Αρχές εφαρμοζόμενες στη διαδικασία σύναψης</w:t>
      </w:r>
      <w:bookmarkEnd w:id="27"/>
      <w:bookmarkEnd w:id="28"/>
      <w:r>
        <w:rPr>
          <w:rFonts w:eastAsia="Arial Unicode MS" w:cs="Calibri" w:ascii="Calibri" w:hAnsi="Calibri"/>
          <w:sz w:val="24"/>
          <w:szCs w:val="24"/>
          <w:lang w:val="el-GR"/>
        </w:rPr>
        <w:t xml:space="preserve"> </w:t>
      </w:r>
    </w:p>
    <w:p>
      <w:pPr>
        <w:pStyle w:val="Normal"/>
        <w:spacing w:lineRule="auto" w:line="276" w:before="0" w:after="0"/>
        <w:rPr>
          <w:rFonts w:eastAsia="Arial Unicode MS" w:cs="Calibri"/>
          <w:sz w:val="24"/>
          <w:lang w:val="el-GR"/>
        </w:rPr>
      </w:pPr>
      <w:r>
        <w:rPr>
          <w:rFonts w:eastAsia="Arial Unicode MS" w:cs="Calibri"/>
          <w:sz w:val="24"/>
          <w:lang w:val="el-GR"/>
        </w:rPr>
        <w:t>Οι οικονομικοί φορείς δεσμεύονται ότι:</w:t>
      </w:r>
    </w:p>
    <w:p>
      <w:pPr>
        <w:pStyle w:val="Normal"/>
        <w:spacing w:lineRule="auto" w:line="276" w:before="0" w:after="0"/>
        <w:rPr>
          <w:rFonts w:eastAsia="Arial Unicode MS" w:cs="Calibri"/>
          <w:sz w:val="24"/>
          <w:lang w:val="el-GR"/>
        </w:rPr>
      </w:pPr>
      <w:r>
        <w:rPr>
          <w:rFonts w:eastAsia="Arial Unicode MS" w:cs="Calibri"/>
          <w:sz w:val="24"/>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σύμφωνα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pPr>
        <w:pStyle w:val="Normal"/>
        <w:spacing w:lineRule="auto" w:line="276" w:before="0" w:after="0"/>
        <w:rPr>
          <w:rFonts w:eastAsia="Arial Unicode MS" w:cs="Calibri"/>
          <w:sz w:val="24"/>
          <w:lang w:val="el-GR"/>
        </w:rPr>
      </w:pPr>
      <w:r>
        <w:rPr>
          <w:rFonts w:eastAsia="Arial Unicode MS" w:cs="Calibri"/>
          <w:sz w:val="24"/>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pPr>
        <w:pStyle w:val="Normal"/>
        <w:spacing w:lineRule="auto" w:line="276" w:before="0" w:after="0"/>
        <w:rPr>
          <w:rFonts w:eastAsia="Arial Unicode MS" w:cs="Calibri"/>
          <w:sz w:val="24"/>
          <w:lang w:val="el-GR"/>
        </w:rPr>
      </w:pPr>
      <w:r>
        <w:rPr>
          <w:rFonts w:eastAsia="Arial Unicode MS" w:cs="Calibri"/>
          <w:sz w:val="24"/>
          <w:lang w:val="el-GR"/>
        </w:rPr>
        <w:t xml:space="preserve">γ) λαμβάνουν τα κατάλληλα μέτρα για να διαφυλάξουν την εμπιστευτικότητα των πληροφοριών που έχουν χαρακτηρισθεί ως τέτοιες.  </w:t>
      </w:r>
    </w:p>
    <w:p>
      <w:pPr>
        <w:pStyle w:val="1"/>
        <w:tabs>
          <w:tab w:val="clear" w:pos="720"/>
          <w:tab w:val="left" w:pos="567" w:leader="none"/>
        </w:tabs>
        <w:spacing w:lineRule="auto" w:line="276" w:before="0" w:after="0"/>
        <w:ind w:left="207" w:right="0" w:hanging="567"/>
        <w:rPr>
          <w:rFonts w:ascii="Calibri" w:hAnsi="Calibri" w:eastAsia="Arial Unicode MS" w:cs="Calibri"/>
          <w:sz w:val="24"/>
          <w:szCs w:val="24"/>
          <w:lang w:val="el-GR"/>
        </w:rPr>
      </w:pPr>
      <w:bookmarkStart w:id="29" w:name="__RefHeading___Toc35549_1890191151"/>
      <w:bookmarkStart w:id="30" w:name="_Toc58242646"/>
      <w:bookmarkEnd w:id="29"/>
      <w:r>
        <w:rPr>
          <w:rFonts w:eastAsia="Arial Unicode MS" w:cs="Calibri" w:ascii="Calibri" w:hAnsi="Calibri"/>
          <w:sz w:val="24"/>
          <w:szCs w:val="24"/>
          <w:lang w:val="el-GR"/>
        </w:rPr>
        <w:t>2.</w:t>
        <w:tab/>
        <w:t>ΓΕΝΙΚΟΙ ΚΑΙ ΕΙΔΙΚΟΙ ΟΡΟΙ ΣΥΜΜΕΤΟΧΗΣ</w:t>
      </w:r>
      <w:bookmarkEnd w:id="30"/>
    </w:p>
    <w:p>
      <w:pPr>
        <w:pStyle w:val="Normal"/>
        <w:spacing w:lineRule="auto" w:line="276"/>
        <w:rPr>
          <w:rFonts w:ascii="Calibri" w:hAnsi="Calibri" w:eastAsia="Arial Unicode MS" w:cs="Calibri"/>
          <w:sz w:val="24"/>
          <w:lang w:val="el-GR"/>
        </w:rPr>
      </w:pPr>
      <w:r>
        <w:rPr>
          <w:rFonts w:eastAsia="Arial Unicode MS" w:cs="Calibri"/>
          <w:sz w:val="24"/>
          <w:lang w:val="el-GR"/>
        </w:rPr>
      </w:r>
    </w:p>
    <w:p>
      <w:pPr>
        <w:pStyle w:val="2"/>
        <w:spacing w:lineRule="auto" w:line="276" w:before="0" w:after="0"/>
        <w:ind w:left="207" w:right="0" w:hanging="567"/>
        <w:rPr/>
      </w:pPr>
      <w:bookmarkStart w:id="31" w:name="__RefHeading___Toc35551_1890191151"/>
      <w:bookmarkStart w:id="32" w:name="_Toc58242647"/>
      <w:bookmarkStart w:id="33" w:name="_Toc492539443"/>
      <w:bookmarkEnd w:id="31"/>
      <w:r>
        <w:rPr>
          <w:rFonts w:eastAsia="Arial Unicode MS" w:cs="Calibri" w:ascii="Calibri" w:hAnsi="Calibri"/>
          <w:sz w:val="24"/>
          <w:szCs w:val="24"/>
          <w:lang w:val="el-GR"/>
        </w:rPr>
        <w:t>2.1</w:t>
        <w:tab/>
        <w:t>Γενικές Πληροφορίες</w:t>
      </w:r>
      <w:bookmarkStart w:id="34" w:name="_Toc492539444"/>
      <w:bookmarkEnd w:id="32"/>
      <w:bookmarkEnd w:id="33"/>
    </w:p>
    <w:p>
      <w:pPr>
        <w:pStyle w:val="3"/>
        <w:spacing w:lineRule="auto" w:line="276" w:before="0" w:after="0"/>
        <w:ind w:left="207" w:right="0" w:hanging="567"/>
        <w:rPr>
          <w:rFonts w:ascii="Calibri" w:hAnsi="Calibri" w:eastAsia="Arial Unicode MS" w:cs="Calibri"/>
          <w:sz w:val="24"/>
          <w:szCs w:val="24"/>
          <w:lang w:val="el-GR"/>
        </w:rPr>
      </w:pPr>
      <w:bookmarkStart w:id="35" w:name="__RefHeading___Toc35553_1890191151"/>
      <w:bookmarkStart w:id="36" w:name="_Toc58242648"/>
      <w:bookmarkEnd w:id="35"/>
      <w:r>
        <w:rPr>
          <w:rFonts w:eastAsia="Arial Unicode MS" w:cs="Calibri" w:ascii="Calibri" w:hAnsi="Calibri"/>
          <w:sz w:val="24"/>
          <w:szCs w:val="24"/>
          <w:lang w:val="el-GR"/>
        </w:rPr>
        <w:t>2.1.1</w:t>
        <w:tab/>
        <w:t>Έγγραφα της σύμβασης</w:t>
      </w:r>
      <w:bookmarkEnd w:id="34"/>
      <w:bookmarkEnd w:id="36"/>
    </w:p>
    <w:p>
      <w:pPr>
        <w:pStyle w:val="Normal"/>
        <w:spacing w:lineRule="auto" w:line="276" w:before="0" w:after="0"/>
        <w:rPr>
          <w:rFonts w:eastAsia="Arial Unicode MS" w:cs="Calibri"/>
          <w:sz w:val="24"/>
          <w:lang w:val="el-GR"/>
        </w:rPr>
      </w:pPr>
      <w:r>
        <w:rPr>
          <w:rFonts w:eastAsia="Arial Unicode MS" w:cs="Calibri"/>
          <w:sz w:val="24"/>
          <w:lang w:val="el-GR"/>
        </w:rPr>
        <w:t>Τα έγγραφα της παρούσας διαδικασίας σύναψης  είναι τα ακόλουθα:</w:t>
      </w:r>
    </w:p>
    <w:p>
      <w:pPr>
        <w:pStyle w:val="Normal"/>
        <w:numPr>
          <w:ilvl w:val="0"/>
          <w:numId w:val="2"/>
        </w:numPr>
        <w:tabs>
          <w:tab w:val="clear" w:pos="720"/>
          <w:tab w:val="left" w:pos="-360" w:leader="none"/>
        </w:tabs>
        <w:spacing w:lineRule="auto" w:line="276" w:before="0" w:after="0"/>
        <w:ind w:left="0" w:right="0" w:hanging="360"/>
        <w:rPr/>
      </w:pPr>
      <w:r>
        <w:rPr>
          <w:rFonts w:eastAsia="Arial Unicode MS" w:cs="Calibri"/>
          <w:sz w:val="24"/>
          <w:lang w:val="el-GR"/>
        </w:rPr>
        <w:t xml:space="preserve">η με αρ. </w:t>
      </w:r>
      <w:r>
        <w:rPr>
          <w:sz w:val="24"/>
          <w:lang w:val="el-GR"/>
        </w:rPr>
        <w:t xml:space="preserve">2023/S 134-426962  </w:t>
      </w:r>
      <w:r>
        <w:rPr>
          <w:rFonts w:eastAsia="Arial Unicode MS" w:cs="Calibri"/>
          <w:b/>
          <w:sz w:val="24"/>
          <w:lang w:val="el-GR"/>
        </w:rPr>
        <w:t>Προκήρυξη</w:t>
      </w:r>
      <w:r>
        <w:rPr>
          <w:rFonts w:eastAsia="Arial Unicode MS" w:cs="Calibri"/>
          <w:sz w:val="24"/>
          <w:lang w:val="el-GR"/>
        </w:rPr>
        <w:t xml:space="preserve">  </w:t>
      </w:r>
      <w:r>
        <w:rPr>
          <w:rFonts w:eastAsia="Arial Unicode MS" w:cs="Calibri"/>
          <w:color w:val="auto"/>
          <w:sz w:val="24"/>
          <w:lang w:val="el-GR"/>
        </w:rPr>
        <w:t xml:space="preserve">(ΑΔΑΜ: 23PROC013083096 ) </w:t>
      </w:r>
      <w:r>
        <w:rPr>
          <w:rFonts w:eastAsia="Arial Unicode MS" w:cs="Calibri"/>
          <w:sz w:val="24"/>
          <w:lang w:val="el-GR"/>
        </w:rPr>
        <w:t>της Σύμβασης</w:t>
      </w:r>
      <w:r>
        <w:rPr>
          <w:rFonts w:eastAsia="Arial Unicode MS" w:cs="Calibri"/>
          <w:color w:val="000000"/>
          <w:sz w:val="24"/>
          <w:lang w:val="el-GR"/>
        </w:rPr>
        <w:t xml:space="preserve">, </w:t>
      </w:r>
      <w:r>
        <w:rPr>
          <w:rFonts w:eastAsia="Arial Unicode MS" w:cs="Calibri"/>
          <w:sz w:val="24"/>
          <w:lang w:val="el-GR"/>
        </w:rPr>
        <w:t xml:space="preserve">όπως αυτή έχει δημοσιευτεί στην Επίσημη Εφημερίδα της Ευρωπαϊκής Ένωσης </w:t>
      </w:r>
    </w:p>
    <w:p>
      <w:pPr>
        <w:pStyle w:val="Normal"/>
        <w:numPr>
          <w:ilvl w:val="0"/>
          <w:numId w:val="2"/>
        </w:numPr>
        <w:tabs>
          <w:tab w:val="clear" w:pos="720"/>
          <w:tab w:val="left" w:pos="-360" w:leader="none"/>
        </w:tabs>
        <w:spacing w:lineRule="auto" w:line="276" w:before="0" w:after="0"/>
        <w:ind w:left="0" w:right="0" w:hanging="360"/>
        <w:rPr>
          <w:rFonts w:eastAsia="Arial Unicode MS" w:cs="Calibri"/>
          <w:sz w:val="24"/>
          <w:lang w:val="el-GR"/>
        </w:rPr>
      </w:pPr>
      <w:r>
        <w:rPr>
          <w:rFonts w:eastAsia="Arial Unicode MS" w:cs="Calibri"/>
          <w:sz w:val="24"/>
          <w:lang w:val="el-GR"/>
        </w:rPr>
        <w:t xml:space="preserve">Το Ευρωπαϊκό Ενιαίο Έγγραφο Σύμβασης [ΕΕΕΣ] </w:t>
      </w:r>
    </w:p>
    <w:p>
      <w:pPr>
        <w:pStyle w:val="Normal"/>
        <w:numPr>
          <w:ilvl w:val="0"/>
          <w:numId w:val="2"/>
        </w:numPr>
        <w:tabs>
          <w:tab w:val="clear" w:pos="720"/>
          <w:tab w:val="left" w:pos="-360" w:leader="none"/>
        </w:tabs>
        <w:spacing w:lineRule="auto" w:line="276" w:before="0" w:after="0"/>
        <w:ind w:left="0" w:right="0" w:hanging="360"/>
        <w:rPr/>
      </w:pPr>
      <w:r>
        <w:rPr>
          <w:rFonts w:eastAsia="Arial Unicode MS" w:cs="Calibri"/>
          <w:sz w:val="24"/>
          <w:lang w:val="el-GR"/>
        </w:rPr>
        <w:t xml:space="preserve">η παρούσα Διακήρυξη </w:t>
      </w:r>
      <w:r>
        <w:rPr>
          <w:rFonts w:eastAsia="Arial Unicode MS" w:cs="Calibri"/>
          <w:color w:val="000000"/>
          <w:sz w:val="24"/>
          <w:lang w:val="el-GR"/>
        </w:rPr>
        <w:t xml:space="preserve">και </w:t>
      </w:r>
      <w:r>
        <w:rPr>
          <w:rFonts w:eastAsia="Arial Unicode MS" w:cs="Calibri"/>
          <w:sz w:val="24"/>
          <w:lang w:val="el-GR"/>
        </w:rPr>
        <w:t>τα Παραρτήματα της</w:t>
      </w:r>
    </w:p>
    <w:p>
      <w:pPr>
        <w:pStyle w:val="Normal"/>
        <w:numPr>
          <w:ilvl w:val="0"/>
          <w:numId w:val="2"/>
        </w:numPr>
        <w:tabs>
          <w:tab w:val="clear" w:pos="720"/>
          <w:tab w:val="left" w:pos="-360" w:leader="none"/>
        </w:tabs>
        <w:spacing w:lineRule="auto" w:line="276" w:before="0" w:after="0"/>
        <w:ind w:left="0" w:right="0" w:hanging="360"/>
        <w:rPr>
          <w:rFonts w:eastAsia="Arial Unicode MS" w:cs="Calibri"/>
          <w:sz w:val="24"/>
          <w:lang w:val="el-GR"/>
        </w:rPr>
      </w:pPr>
      <w:r>
        <w:rPr>
          <w:rFonts w:eastAsia="Arial Unicode MS" w:cs="Calibri"/>
          <w:sz w:val="24"/>
          <w:lang w:val="el-GR"/>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pPr>
        <w:pStyle w:val="Normal"/>
        <w:numPr>
          <w:ilvl w:val="0"/>
          <w:numId w:val="2"/>
        </w:numPr>
        <w:tabs>
          <w:tab w:val="clear" w:pos="720"/>
          <w:tab w:val="left" w:pos="-360" w:leader="none"/>
        </w:tabs>
        <w:spacing w:lineRule="auto" w:line="276" w:before="0" w:after="0"/>
        <w:ind w:left="0" w:right="0" w:hanging="360"/>
        <w:rPr>
          <w:rFonts w:eastAsia="Arial Unicode MS" w:cs="Calibri"/>
          <w:sz w:val="24"/>
          <w:lang w:val="el-GR"/>
        </w:rPr>
      </w:pPr>
      <w:r>
        <w:rPr>
          <w:rFonts w:eastAsia="Arial Unicode MS" w:cs="Calibri"/>
          <w:sz w:val="24"/>
          <w:lang w:val="el-GR"/>
        </w:rPr>
        <w:t>η περίληψη της Διακήρυξης</w:t>
      </w:r>
    </w:p>
    <w:p>
      <w:pPr>
        <w:pStyle w:val="Normal"/>
        <w:numPr>
          <w:ilvl w:val="0"/>
          <w:numId w:val="2"/>
        </w:numPr>
        <w:tabs>
          <w:tab w:val="clear" w:pos="720"/>
          <w:tab w:val="left" w:pos="-360" w:leader="none"/>
        </w:tabs>
        <w:spacing w:lineRule="auto" w:line="276" w:before="0" w:after="0"/>
        <w:ind w:left="0" w:right="0" w:hanging="360"/>
        <w:rPr>
          <w:rFonts w:eastAsia="Arial Unicode MS" w:cs="Calibri"/>
          <w:sz w:val="24"/>
          <w:lang w:val="el-GR"/>
        </w:rPr>
      </w:pPr>
      <w:r>
        <w:rPr>
          <w:rFonts w:eastAsia="Arial Unicode MS" w:cs="Calibri"/>
          <w:sz w:val="24"/>
          <w:lang w:val="el-GR"/>
        </w:rPr>
        <w:t>το σχέδιο της σύμβασης με τα Παραρτήματά της</w:t>
      </w:r>
    </w:p>
    <w:p>
      <w:pPr>
        <w:pStyle w:val="Normal"/>
        <w:spacing w:lineRule="auto" w:line="276" w:before="0" w:after="0"/>
        <w:rPr>
          <w:rFonts w:ascii="Calibri" w:hAnsi="Calibri" w:eastAsia="Arial Unicode MS" w:cs="Calibri"/>
          <w:sz w:val="24"/>
          <w:lang w:val="el-GR"/>
        </w:rPr>
      </w:pPr>
      <w:r>
        <w:rPr>
          <w:rFonts w:eastAsia="Arial Unicode MS" w:cs="Calibri"/>
          <w:sz w:val="24"/>
          <w:lang w:val="el-GR"/>
        </w:rPr>
      </w:r>
    </w:p>
    <w:p>
      <w:pPr>
        <w:pStyle w:val="3"/>
        <w:spacing w:lineRule="auto" w:line="276" w:before="0" w:after="0"/>
        <w:ind w:left="207" w:right="0" w:hanging="567"/>
        <w:rPr>
          <w:rFonts w:ascii="Calibri" w:hAnsi="Calibri" w:eastAsia="Arial Unicode MS" w:cs="Calibri"/>
          <w:sz w:val="24"/>
          <w:szCs w:val="24"/>
          <w:lang w:val="el-GR"/>
        </w:rPr>
      </w:pPr>
      <w:bookmarkStart w:id="37" w:name="__RefHeading___Toc35555_1890191151"/>
      <w:bookmarkStart w:id="38" w:name="_Toc58242649"/>
      <w:bookmarkStart w:id="39" w:name="_Toc492539445"/>
      <w:bookmarkEnd w:id="37"/>
      <w:r>
        <w:rPr>
          <w:rFonts w:eastAsia="Arial Unicode MS" w:cs="Calibri" w:ascii="Calibri" w:hAnsi="Calibri"/>
          <w:sz w:val="24"/>
          <w:szCs w:val="24"/>
          <w:lang w:val="el-GR"/>
        </w:rPr>
        <w:t>2.1.2</w:t>
        <w:tab/>
        <w:t>Επικοινωνία - Πρόσβαση στα έγγραφα της Σύμβασης</w:t>
      </w:r>
      <w:bookmarkEnd w:id="38"/>
      <w:bookmarkEnd w:id="39"/>
    </w:p>
    <w:p>
      <w:pPr>
        <w:pStyle w:val="Normal"/>
        <w:spacing w:lineRule="auto" w:line="276" w:before="0" w:after="0"/>
        <w:rPr/>
      </w:pPr>
      <w:r>
        <w:rPr>
          <w:rFonts w:eastAsia="Arial Unicode MS" w:cs="Calibri"/>
          <w:sz w:val="24"/>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20">
        <w:r>
          <w:rPr>
            <w:rStyle w:val="Style7"/>
            <w:rFonts w:eastAsia="Arial Unicode MS" w:cs="Calibri"/>
            <w:sz w:val="24"/>
            <w:lang w:val="el-GR"/>
          </w:rPr>
          <w:t>www.promitheus.gov.gr</w:t>
        </w:r>
      </w:hyperlink>
      <w:r>
        <w:rPr>
          <w:rFonts w:eastAsia="Arial Unicode MS" w:cs="Calibri"/>
          <w:sz w:val="24"/>
          <w:lang w:val="el-GR"/>
        </w:rPr>
        <w:t>.</w:t>
      </w:r>
    </w:p>
    <w:p>
      <w:pPr>
        <w:pStyle w:val="Normal"/>
        <w:spacing w:lineRule="auto" w:line="276" w:before="0" w:after="0"/>
        <w:rPr>
          <w:rFonts w:ascii="Calibri" w:hAnsi="Calibri" w:eastAsia="Arial Unicode MS" w:cs="Calibri"/>
          <w:sz w:val="24"/>
          <w:lang w:val="el-GR"/>
        </w:rPr>
      </w:pPr>
      <w:r>
        <w:rPr>
          <w:rFonts w:eastAsia="Arial Unicode MS" w:cs="Calibri"/>
          <w:sz w:val="24"/>
          <w:lang w:val="el-GR"/>
        </w:rPr>
      </w:r>
    </w:p>
    <w:p>
      <w:pPr>
        <w:pStyle w:val="3"/>
        <w:spacing w:lineRule="auto" w:line="276" w:before="0" w:after="0"/>
        <w:ind w:left="207" w:right="0" w:hanging="567"/>
        <w:rPr>
          <w:rFonts w:ascii="Calibri" w:hAnsi="Calibri" w:eastAsia="Arial Unicode MS" w:cs="Calibri"/>
          <w:sz w:val="24"/>
          <w:szCs w:val="24"/>
          <w:lang w:val="el-GR"/>
        </w:rPr>
      </w:pPr>
      <w:bookmarkStart w:id="40" w:name="__RefHeading___Toc35557_1890191151"/>
      <w:bookmarkStart w:id="41" w:name="_Toc58242650"/>
      <w:bookmarkStart w:id="42" w:name="_Toc492539446"/>
      <w:bookmarkEnd w:id="40"/>
      <w:r>
        <w:rPr>
          <w:rFonts w:eastAsia="Arial Unicode MS" w:cs="Calibri" w:ascii="Calibri" w:hAnsi="Calibri"/>
          <w:sz w:val="24"/>
          <w:szCs w:val="24"/>
          <w:lang w:val="el-GR"/>
        </w:rPr>
        <w:t>2.1.3</w:t>
        <w:tab/>
        <w:t>Παροχή Διευκρινίσεων</w:t>
      </w:r>
      <w:bookmarkEnd w:id="41"/>
      <w:bookmarkEnd w:id="42"/>
    </w:p>
    <w:p>
      <w:pPr>
        <w:pStyle w:val="Normal"/>
        <w:spacing w:lineRule="auto" w:line="276" w:before="0" w:after="0"/>
        <w:rPr/>
      </w:pPr>
      <w:r>
        <w:rPr>
          <w:rFonts w:eastAsia="Arial Unicode MS" w:cs="Calibri"/>
          <w:sz w:val="24"/>
          <w:lang w:val="el-GR"/>
        </w:rPr>
        <w:t xml:space="preserve">Τα σχετικά αιτήματα παροχής διευκρινίσεων υποβάλλονται ηλεκτρονικά, το αργότερο </w:t>
      </w:r>
      <w:r>
        <w:rPr>
          <w:rFonts w:eastAsia="Arial Unicode MS" w:cs="Calibri"/>
          <w:color w:val="000000"/>
          <w:sz w:val="24"/>
          <w:lang w:val="el-GR"/>
        </w:rPr>
        <w:t xml:space="preserve">δεκαπέντε (15) ημέρες </w:t>
      </w:r>
      <w:r>
        <w:rPr>
          <w:rFonts w:eastAsia="Arial Unicode MS" w:cs="Calibri"/>
          <w:sz w:val="24"/>
          <w:lang w:val="el-GR"/>
        </w:rPr>
        <w:t xml:space="preserve">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1">
        <w:r>
          <w:rPr>
            <w:rStyle w:val="Style7"/>
            <w:rFonts w:eastAsia="Arial Unicode MS" w:cs="Calibri"/>
            <w:sz w:val="24"/>
            <w:lang w:val="el-GR"/>
          </w:rPr>
          <w:t>www.promitheus.gov.gr</w:t>
        </w:r>
      </w:hyperlink>
      <w:r>
        <w:rPr>
          <w:rFonts w:eastAsia="Arial Unicode MS" w:cs="Calibri"/>
          <w:sz w:val="24"/>
          <w:lang w:val="el-GR"/>
        </w:rPr>
        <w:t xml:space="preserve"> ,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w:t>
      </w:r>
    </w:p>
    <w:p>
      <w:pPr>
        <w:pStyle w:val="Normal"/>
        <w:spacing w:lineRule="auto" w:line="276" w:before="0" w:after="0"/>
        <w:rPr>
          <w:rFonts w:eastAsia="Arial Unicode MS" w:cs="Calibri"/>
          <w:b/>
          <w:b/>
          <w:sz w:val="24"/>
          <w:lang w:val="el-GR"/>
        </w:rPr>
      </w:pPr>
      <w:r>
        <w:rPr>
          <w:rFonts w:eastAsia="Arial Unicode MS" w:cs="Calibri"/>
          <w:b/>
          <w:sz w:val="24"/>
          <w:lang w:val="el-GR"/>
        </w:rPr>
        <w:t xml:space="preserve">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pPr>
        <w:pStyle w:val="Normal"/>
        <w:spacing w:lineRule="auto" w:line="276" w:before="0" w:after="0"/>
        <w:rPr/>
      </w:pPr>
      <w:r>
        <w:rPr>
          <w:rFonts w:eastAsia="Arial Unicode MS" w:cs="Calibri"/>
          <w:sz w:val="24"/>
          <w:lang w:val="el-GR"/>
        </w:rPr>
        <w:t xml:space="preserve">Η αναθέτουσα αρχή μπορεί </w:t>
      </w:r>
      <w:r>
        <w:rPr>
          <w:rFonts w:eastAsia="Arial Unicode MS" w:cs="Calibri"/>
          <w:b/>
          <w:sz w:val="24"/>
          <w:lang w:val="el-GR"/>
        </w:rPr>
        <w:t>να παρατείνει την προθεσμία παραλαβής των προσφορών</w:t>
      </w:r>
      <w:r>
        <w:rPr>
          <w:rFonts w:eastAsia="Arial Unicode MS" w:cs="Calibri"/>
          <w:sz w:val="24"/>
          <w:lang w:val="el-GR"/>
        </w:rPr>
        <w:t>,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pPr>
        <w:pStyle w:val="Normal"/>
        <w:spacing w:lineRule="auto" w:line="276" w:before="0" w:after="0"/>
        <w:rPr/>
      </w:pPr>
      <w:r>
        <w:rPr>
          <w:rFonts w:eastAsia="Arial Unicode MS" w:cs="Calibri"/>
          <w:b/>
          <w:sz w:val="24"/>
          <w:lang w:val="el-GR"/>
        </w:rPr>
        <w:t>α)</w:t>
      </w:r>
      <w:r>
        <w:rPr>
          <w:rFonts w:eastAsia="Arial Unicode MS" w:cs="Calibri"/>
          <w:sz w:val="24"/>
          <w:lang w:val="el-GR"/>
        </w:rPr>
        <w:t xml:space="preserve"> όταν, για οποιονδήποτε λόγο, πρόσθετες πληροφορίες, αν και ζητήθηκαν από τον οικονομικό φορέα έγκαιρα, δεν έχουν παρασχεθεί το </w:t>
      </w:r>
      <w:r>
        <w:rPr>
          <w:rFonts w:eastAsia="Arial Unicode MS" w:cs="Calibri"/>
          <w:color w:val="000000"/>
          <w:sz w:val="24"/>
          <w:lang w:val="el-GR"/>
        </w:rPr>
        <w:t xml:space="preserve">αργότερο </w:t>
      </w:r>
      <w:r>
        <w:rPr>
          <w:rFonts w:eastAsia="Arial Unicode MS" w:cs="Calibri"/>
          <w:b/>
          <w:color w:val="000000"/>
          <w:sz w:val="24"/>
          <w:lang w:val="el-GR"/>
        </w:rPr>
        <w:t>έξι (6) ημέρες</w:t>
      </w:r>
      <w:r>
        <w:rPr>
          <w:rFonts w:eastAsia="Arial Unicode MS" w:cs="Calibri"/>
          <w:sz w:val="24"/>
          <w:lang w:val="el-GR"/>
        </w:rPr>
        <w:t xml:space="preserve"> πριν από την προθεσμία που ορίζεται για την παραλαβή των προσφορών</w:t>
      </w:r>
    </w:p>
    <w:p>
      <w:pPr>
        <w:pStyle w:val="Normal"/>
        <w:spacing w:lineRule="auto" w:line="276" w:before="0" w:after="0"/>
        <w:rPr/>
      </w:pPr>
      <w:r>
        <w:rPr>
          <w:rFonts w:eastAsia="Arial Unicode MS" w:cs="Calibri"/>
          <w:b/>
          <w:sz w:val="24"/>
          <w:lang w:val="el-GR"/>
        </w:rPr>
        <w:t>β)</w:t>
      </w:r>
      <w:r>
        <w:rPr>
          <w:rFonts w:eastAsia="Arial Unicode MS" w:cs="Calibri"/>
          <w:sz w:val="24"/>
          <w:lang w:val="el-GR"/>
        </w:rPr>
        <w:t xml:space="preserve"> όταν τα έγγραφα της σύμβασης υφίστανται σημαντικές αλλαγές.</w:t>
      </w:r>
    </w:p>
    <w:p>
      <w:pPr>
        <w:pStyle w:val="Normal"/>
        <w:spacing w:lineRule="auto" w:line="276" w:before="0" w:after="0"/>
        <w:rPr>
          <w:rFonts w:eastAsia="Arial Unicode MS" w:cs="Calibri"/>
          <w:sz w:val="24"/>
          <w:lang w:val="el-GR"/>
        </w:rPr>
      </w:pPr>
      <w:r>
        <w:rPr>
          <w:rFonts w:eastAsia="Arial Unicode MS" w:cs="Calibri"/>
          <w:sz w:val="24"/>
          <w:lang w:val="el-GR"/>
        </w:rPr>
        <w:t>Η διάρκεια της παράτασης θα είναι ανάλογη με τη σπουδαιότητα των πληροφοριών ή των αλλαγών.</w:t>
      </w:r>
    </w:p>
    <w:p>
      <w:pPr>
        <w:pStyle w:val="Normal"/>
        <w:spacing w:lineRule="auto" w:line="276" w:before="0" w:after="0"/>
        <w:rPr>
          <w:rFonts w:eastAsia="Arial Unicode MS" w:cs="Calibri"/>
          <w:sz w:val="24"/>
          <w:lang w:val="el-GR"/>
        </w:rPr>
      </w:pPr>
      <w:r>
        <w:rPr>
          <w:rFonts w:eastAsia="Arial Unicode MS" w:cs="Calibri"/>
          <w:sz w:val="24"/>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pPr>
        <w:pStyle w:val="Normal"/>
        <w:spacing w:lineRule="auto" w:line="276" w:before="0" w:after="0"/>
        <w:rPr/>
      </w:pPr>
      <w:r>
        <w:rPr>
          <w:rFonts w:eastAsia="Arial Unicode MS" w:cs="Calibri"/>
          <w:sz w:val="24"/>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 και στο ΚΗΜΔΗΣ</w:t>
      </w:r>
      <w:r>
        <w:rPr>
          <w:rStyle w:val="Style14"/>
          <w:rStyle w:val="Style14"/>
          <w:rFonts w:eastAsia="Arial Unicode MS" w:cs="Calibri"/>
          <w:sz w:val="24"/>
          <w:lang w:val="el-GR"/>
        </w:rPr>
        <w:footnoteReference w:id="10"/>
      </w:r>
      <w:r>
        <w:rPr>
          <w:rFonts w:eastAsia="Arial Unicode MS" w:cs="Calibri"/>
          <w:sz w:val="24"/>
          <w:lang w:val="el-GR"/>
        </w:rPr>
        <w:t xml:space="preserve">. </w:t>
      </w:r>
    </w:p>
    <w:p>
      <w:pPr>
        <w:pStyle w:val="Normal"/>
        <w:spacing w:lineRule="auto" w:line="276" w:before="0" w:after="0"/>
        <w:rPr>
          <w:rFonts w:ascii="Calibri" w:hAnsi="Calibri" w:eastAsia="Arial Unicode MS" w:cs="Calibri"/>
          <w:b/>
          <w:b/>
          <w:sz w:val="24"/>
          <w:lang w:val="el-GR"/>
        </w:rPr>
      </w:pPr>
      <w:r>
        <w:rPr>
          <w:rFonts w:eastAsia="Arial Unicode MS" w:cs="Calibri"/>
          <w:b/>
          <w:sz w:val="24"/>
          <w:lang w:val="el-GR"/>
        </w:rPr>
      </w:r>
    </w:p>
    <w:p>
      <w:pPr>
        <w:pStyle w:val="3"/>
        <w:spacing w:lineRule="auto" w:line="276" w:before="0" w:after="0"/>
        <w:ind w:left="207" w:right="0" w:hanging="567"/>
        <w:rPr>
          <w:rFonts w:ascii="Calibri" w:hAnsi="Calibri" w:eastAsia="Arial Unicode MS" w:cs="Calibri"/>
          <w:sz w:val="24"/>
          <w:szCs w:val="24"/>
          <w:lang w:val="el-GR"/>
        </w:rPr>
      </w:pPr>
      <w:bookmarkStart w:id="43" w:name="__RefHeading___Toc35559_1890191151"/>
      <w:bookmarkStart w:id="44" w:name="_Toc58242651"/>
      <w:bookmarkStart w:id="45" w:name="_Toc492539447"/>
      <w:bookmarkEnd w:id="43"/>
      <w:r>
        <w:rPr>
          <w:rFonts w:eastAsia="Arial Unicode MS" w:cs="Calibri" w:ascii="Calibri" w:hAnsi="Calibri"/>
          <w:sz w:val="24"/>
          <w:szCs w:val="24"/>
          <w:lang w:val="el-GR"/>
        </w:rPr>
        <w:t>2.1.4</w:t>
        <w:tab/>
        <w:t>Γλώσσα</w:t>
      </w:r>
      <w:bookmarkEnd w:id="44"/>
      <w:bookmarkEnd w:id="45"/>
    </w:p>
    <w:p>
      <w:pPr>
        <w:pStyle w:val="Normal"/>
        <w:spacing w:lineRule="auto" w:line="276" w:before="0" w:after="0"/>
        <w:rPr>
          <w:rFonts w:eastAsia="Arial Unicode MS" w:cs="Calibri"/>
          <w:sz w:val="24"/>
          <w:lang w:val="el-GR"/>
        </w:rPr>
      </w:pPr>
      <w:r>
        <w:rPr>
          <w:rFonts w:eastAsia="Arial Unicode MS" w:cs="Calibri"/>
          <w:sz w:val="24"/>
          <w:lang w:val="el-GR"/>
        </w:rPr>
        <w:t>Τα έγγραφα της σύμβασης έχουν συνταχθεί στην ελληνική γλώσσα. Τυχόν προδικαστικές προσφυγές υποβάλλονται στην ελληνική γλώσσα.</w:t>
      </w:r>
    </w:p>
    <w:p>
      <w:pPr>
        <w:pStyle w:val="Normal"/>
        <w:spacing w:lineRule="auto" w:line="276" w:before="0" w:after="0"/>
        <w:rPr/>
      </w:pPr>
      <w:r>
        <w:rPr>
          <w:rFonts w:eastAsia="Arial Unicode MS" w:cs="Calibri"/>
          <w:sz w:val="24"/>
          <w:lang w:val="el-GR"/>
        </w:rPr>
        <w:t xml:space="preserve">Οι </w:t>
      </w:r>
      <w:r>
        <w:rPr>
          <w:rFonts w:eastAsia="Arial Unicode MS" w:cs="Calibri"/>
          <w:bCs/>
          <w:sz w:val="24"/>
          <w:lang w:val="el-GR"/>
        </w:rPr>
        <w:t>προσφορές,</w:t>
      </w:r>
      <w:r>
        <w:rPr>
          <w:rFonts w:eastAsia="Arial Unicode MS" w:cs="Calibri"/>
          <w:sz w:val="24"/>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Pr>
          <w:rStyle w:val="Style14"/>
          <w:rStyle w:val="Style14"/>
          <w:rFonts w:eastAsia="Arial Unicode MS" w:cs="Calibri"/>
          <w:sz w:val="24"/>
          <w:lang w:val="el-GR"/>
        </w:rPr>
        <w:footnoteReference w:id="11"/>
      </w:r>
      <w:r>
        <w:rPr>
          <w:rFonts w:eastAsia="Arial Unicode MS" w:cs="Calibri"/>
          <w:sz w:val="24"/>
          <w:lang w:val="el-GR"/>
        </w:rPr>
        <w:t xml:space="preserve"> συντάσσονται στην ελληνική γλώσσα ή συνοδεύονται από επίσημη μετάφρασή τους στην ελληνική γλώσσα.</w:t>
      </w:r>
    </w:p>
    <w:p>
      <w:pPr>
        <w:pStyle w:val="Normal"/>
        <w:spacing w:lineRule="auto" w:line="276" w:before="0" w:after="0"/>
        <w:rPr>
          <w:rFonts w:eastAsia="Arial Unicode MS" w:cs="Calibri"/>
          <w:sz w:val="24"/>
          <w:lang w:val="el-GR"/>
        </w:rPr>
      </w:pPr>
      <w:r>
        <w:rPr>
          <w:rFonts w:eastAsia="Arial Unicode MS" w:cs="Calibri"/>
          <w:sz w:val="24"/>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pPr>
        <w:pStyle w:val="Normal"/>
        <w:spacing w:lineRule="auto" w:line="276" w:before="0" w:after="0"/>
        <w:rPr/>
      </w:pPr>
      <w:r>
        <w:rPr>
          <w:rFonts w:eastAsia="Arial Unicode MS" w:cs="Calibri"/>
          <w:sz w:val="24"/>
          <w:lang w:val="el-GR"/>
        </w:rPr>
        <w:t xml:space="preserve">Ενημερωτικά και τεχνικά φυλλάδια και άλλα έντυπα -εταιρικά ή μη- με ειδικό τεχνικό </w:t>
      </w:r>
      <w:r>
        <w:rPr>
          <w:rFonts w:eastAsia="Arial Unicode MS" w:cs="Calibri"/>
          <w:i/>
          <w:iCs/>
          <w:sz w:val="24"/>
          <w:lang w:val="el-GR"/>
        </w:rPr>
        <w:t xml:space="preserve">περιεχόμενο, </w:t>
      </w:r>
      <w:r>
        <w:rPr>
          <w:rFonts w:eastAsia="Arial Unicode MS" w:cs="Calibri"/>
          <w:iCs/>
          <w:sz w:val="24"/>
          <w:lang w:val="el-GR"/>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Pr>
          <w:rFonts w:eastAsia="Arial Unicode MS" w:cs="Calibri"/>
          <w:sz w:val="24"/>
          <w:lang w:val="el-GR"/>
        </w:rPr>
        <w:t>μπορούν να υποβάλλονται σε άλλη γλώσσα, χωρίς να συνοδεύονται από μετάφραση στην ελληνική</w:t>
      </w:r>
      <w:r>
        <w:rPr>
          <w:rStyle w:val="Style14"/>
          <w:rStyle w:val="Style14"/>
          <w:rFonts w:eastAsia="Arial Unicode MS" w:cs="Calibri"/>
          <w:sz w:val="24"/>
          <w:lang w:val="el-GR"/>
        </w:rPr>
        <w:footnoteReference w:id="12"/>
      </w:r>
      <w:r>
        <w:rPr>
          <w:rStyle w:val="Style14"/>
          <w:rFonts w:eastAsia="Arial Unicode MS" w:cs="Calibri"/>
          <w:sz w:val="24"/>
          <w:lang w:val="el-GR"/>
        </w:rPr>
        <w:t xml:space="preserve"> </w:t>
      </w:r>
      <w:r>
        <w:rPr>
          <w:rStyle w:val="Style14"/>
          <w:rFonts w:eastAsia="Arial Unicode MS" w:cs="Calibri"/>
          <w:position w:val="0"/>
          <w:sz w:val="24"/>
          <w:sz w:val="24"/>
          <w:vertAlign w:val="baseline"/>
          <w:lang w:val="el-GR"/>
        </w:rPr>
        <w:t>.</w:t>
      </w:r>
    </w:p>
    <w:p>
      <w:pPr>
        <w:pStyle w:val="Normal"/>
        <w:spacing w:lineRule="auto" w:line="276" w:before="0" w:after="0"/>
        <w:rPr/>
      </w:pPr>
      <w:r>
        <w:rPr>
          <w:rFonts w:eastAsia="Arial Unicode MS" w:cs="Calibri"/>
          <w:b/>
          <w:color w:val="000000"/>
          <w:sz w:val="24"/>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Style14"/>
          <w:rStyle w:val="Style14"/>
          <w:rFonts w:eastAsia="Arial Unicode MS" w:cs="Calibri"/>
          <w:color w:val="000000"/>
          <w:sz w:val="24"/>
          <w:lang w:val="el-GR"/>
        </w:rPr>
        <w:footnoteReference w:id="13"/>
      </w:r>
      <w:r>
        <w:rPr>
          <w:rFonts w:eastAsia="Arial Unicode MS" w:cs="Calibri"/>
          <w:color w:val="000000"/>
          <w:sz w:val="24"/>
          <w:lang w:val="el-GR"/>
        </w:rPr>
        <w:t xml:space="preserve">.  </w:t>
      </w:r>
    </w:p>
    <w:p>
      <w:pPr>
        <w:pStyle w:val="Normal"/>
        <w:spacing w:lineRule="auto" w:line="276" w:before="0" w:after="0"/>
        <w:rPr>
          <w:rFonts w:ascii="Calibri" w:hAnsi="Calibri" w:eastAsia="Arial Unicode MS" w:cs="Calibri"/>
          <w:sz w:val="24"/>
          <w:lang w:val="el-GR"/>
        </w:rPr>
      </w:pPr>
      <w:r>
        <w:rPr>
          <w:rFonts w:eastAsia="Arial Unicode MS" w:cs="Calibri"/>
          <w:sz w:val="24"/>
          <w:lang w:val="el-GR"/>
        </w:rPr>
      </w:r>
    </w:p>
    <w:p>
      <w:pPr>
        <w:pStyle w:val="3"/>
        <w:spacing w:lineRule="auto" w:line="276" w:before="0" w:after="0"/>
        <w:ind w:left="207" w:right="0" w:hanging="567"/>
        <w:rPr>
          <w:rFonts w:ascii="Calibri" w:hAnsi="Calibri" w:eastAsia="Arial Unicode MS" w:cs="Calibri"/>
          <w:sz w:val="24"/>
          <w:szCs w:val="24"/>
          <w:lang w:val="el-GR"/>
        </w:rPr>
      </w:pPr>
      <w:bookmarkStart w:id="46" w:name="__RefHeading___Toc35561_1890191151"/>
      <w:bookmarkStart w:id="47" w:name="_Toc58242652"/>
      <w:bookmarkStart w:id="48" w:name="_Toc492539448"/>
      <w:bookmarkEnd w:id="46"/>
      <w:r>
        <w:rPr>
          <w:rFonts w:eastAsia="Arial Unicode MS" w:cs="Calibri" w:ascii="Calibri" w:hAnsi="Calibri"/>
          <w:sz w:val="24"/>
          <w:szCs w:val="24"/>
          <w:lang w:val="el-GR"/>
        </w:rPr>
        <w:t>2.1.5</w:t>
        <w:tab/>
        <w:t>Εγγυήσεις</w:t>
      </w:r>
      <w:bookmarkEnd w:id="47"/>
      <w:bookmarkEnd w:id="48"/>
    </w:p>
    <w:p>
      <w:pPr>
        <w:pStyle w:val="Normal"/>
        <w:spacing w:lineRule="auto" w:line="276" w:before="0" w:after="0"/>
        <w:rPr/>
      </w:pPr>
      <w:r>
        <w:rPr>
          <w:rFonts w:eastAsia="Arial Unicode MS" w:cs="Calibri"/>
          <w:color w:val="000000"/>
          <w:sz w:val="24"/>
          <w:lang w:val="el-GR"/>
        </w:rPr>
        <w:t xml:space="preserve">Οι εγγυητικές επιστολές των παραγράφων 2.2.2 και </w:t>
      </w:r>
      <w:r>
        <w:rPr>
          <w:rFonts w:eastAsia="Arial Unicode MS" w:cs="Calibri"/>
          <w:sz w:val="24"/>
          <w:lang w:val="el-GR"/>
        </w:rPr>
        <w:t>4.1.</w:t>
      </w:r>
      <w:r>
        <w:rPr>
          <w:rFonts w:eastAsia="Arial Unicode MS" w:cs="Calibri"/>
          <w:color w:val="339966"/>
          <w:sz w:val="24"/>
          <w:lang w:val="el-GR"/>
        </w:rPr>
        <w:t xml:space="preserve"> </w:t>
      </w:r>
      <w:r>
        <w:rPr>
          <w:rFonts w:eastAsia="Arial Unicode MS" w:cs="Calibri"/>
          <w:color w:val="000000"/>
          <w:sz w:val="24"/>
          <w:lang w:val="el-GR"/>
        </w:rPr>
        <w:t>εκδίδονται από πιστωτικά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pPr>
        <w:pStyle w:val="Normal"/>
        <w:spacing w:lineRule="auto" w:line="276" w:before="0" w:after="0"/>
        <w:rPr>
          <w:rFonts w:eastAsia="Arial Unicode MS" w:cs="Calibri"/>
          <w:color w:val="000000"/>
          <w:sz w:val="24"/>
          <w:lang w:val="el-GR"/>
        </w:rPr>
      </w:pPr>
      <w:r>
        <w:rPr>
          <w:rFonts w:eastAsia="Arial Unicode MS" w:cs="Calibri"/>
          <w:color w:val="000000"/>
          <w:sz w:val="24"/>
          <w:lang w:val="el-GR"/>
        </w:rPr>
        <w:t>Οι εγγυητικές επιστολές εκδίδονται κατ’ επιλογή των οικονομικών φορέων από έναν ή περισσότερους εκδότες της παραπάνω παραγράφου.</w:t>
      </w:r>
    </w:p>
    <w:p>
      <w:pPr>
        <w:pStyle w:val="Normal"/>
        <w:spacing w:lineRule="auto" w:line="276" w:before="0" w:after="0"/>
        <w:rPr/>
      </w:pPr>
      <w:r>
        <w:rPr>
          <w:rFonts w:eastAsia="Arial Unicode MS" w:cs="Calibri"/>
          <w:b/>
          <w:color w:val="000000"/>
          <w:sz w:val="24"/>
          <w:u w:val="single"/>
          <w:lang w:val="el-GR"/>
        </w:rPr>
        <w:t>Οι εγγυήσεις αυτές περιλαμβάνουν κατ’ ελάχιστον τα ακόλουθα στοιχεία:</w:t>
      </w:r>
      <w:r>
        <w:rPr>
          <w:rFonts w:eastAsia="Arial Unicode MS" w:cs="Calibri"/>
          <w:color w:val="000000"/>
          <w:sz w:val="24"/>
          <w:lang w:val="el-GR"/>
        </w:rPr>
        <w:t xml:space="preserve"> </w:t>
      </w:r>
      <w:r>
        <w:rPr>
          <w:rFonts w:eastAsia="Arial Unicode MS" w:cs="Calibri"/>
          <w:b/>
          <w:color w:val="000000"/>
          <w:sz w:val="24"/>
          <w:lang w:val="el-GR"/>
        </w:rPr>
        <w:t>α)</w:t>
      </w:r>
      <w:r>
        <w:rPr>
          <w:rFonts w:eastAsia="Arial Unicode MS" w:cs="Calibri"/>
          <w:color w:val="000000"/>
          <w:sz w:val="24"/>
          <w:lang w:val="el-GR"/>
        </w:rPr>
        <w:t xml:space="preserve"> την ημερομηνία έκδοσης</w:t>
      </w:r>
      <w:r>
        <w:rPr>
          <w:rFonts w:eastAsia="Arial Unicode MS" w:cs="Calibri"/>
          <w:b/>
          <w:color w:val="000000"/>
          <w:sz w:val="24"/>
          <w:lang w:val="el-GR"/>
        </w:rPr>
        <w:t>, β)</w:t>
      </w:r>
      <w:r>
        <w:rPr>
          <w:rFonts w:eastAsia="Arial Unicode MS" w:cs="Calibri"/>
          <w:color w:val="000000"/>
          <w:sz w:val="24"/>
          <w:lang w:val="el-GR"/>
        </w:rPr>
        <w:t xml:space="preserve"> τον εκδότη, </w:t>
      </w:r>
      <w:r>
        <w:rPr>
          <w:rFonts w:eastAsia="Arial Unicode MS" w:cs="Calibri"/>
          <w:b/>
          <w:color w:val="000000"/>
          <w:sz w:val="24"/>
          <w:lang w:val="el-GR"/>
        </w:rPr>
        <w:t>γ)</w:t>
      </w:r>
      <w:r>
        <w:rPr>
          <w:rFonts w:eastAsia="Arial Unicode MS" w:cs="Calibri"/>
          <w:color w:val="000000"/>
          <w:sz w:val="24"/>
          <w:lang w:val="el-GR"/>
        </w:rPr>
        <w:t xml:space="preserve"> την αναθέτουσα αρχή προς την οποία απευθύνονται, </w:t>
      </w:r>
      <w:r>
        <w:rPr>
          <w:rFonts w:eastAsia="Arial Unicode MS" w:cs="Calibri"/>
          <w:b/>
          <w:color w:val="000000"/>
          <w:sz w:val="24"/>
          <w:lang w:val="el-GR"/>
        </w:rPr>
        <w:t>δ)</w:t>
      </w:r>
      <w:r>
        <w:rPr>
          <w:rFonts w:eastAsia="Arial Unicode MS" w:cs="Calibri"/>
          <w:color w:val="000000"/>
          <w:sz w:val="24"/>
          <w:lang w:val="el-GR"/>
        </w:rPr>
        <w:t xml:space="preserve"> τον αριθμό της εγγύησης, </w:t>
      </w:r>
      <w:r>
        <w:rPr>
          <w:rFonts w:eastAsia="Arial Unicode MS" w:cs="Calibri"/>
          <w:b/>
          <w:color w:val="000000"/>
          <w:sz w:val="24"/>
          <w:lang w:val="el-GR"/>
        </w:rPr>
        <w:t>ε)</w:t>
      </w:r>
      <w:r>
        <w:rPr>
          <w:rFonts w:eastAsia="Arial Unicode MS" w:cs="Calibri"/>
          <w:color w:val="000000"/>
          <w:sz w:val="24"/>
          <w:lang w:val="el-GR"/>
        </w:rPr>
        <w:t xml:space="preserve"> το ποσό που καλύπτει η εγγύηση, </w:t>
      </w:r>
      <w:r>
        <w:rPr>
          <w:rFonts w:eastAsia="Arial Unicode MS" w:cs="Calibri"/>
          <w:b/>
          <w:color w:val="000000"/>
          <w:sz w:val="24"/>
          <w:lang w:val="el-GR"/>
        </w:rPr>
        <w:t>στ)</w:t>
      </w:r>
      <w:r>
        <w:rPr>
          <w:rFonts w:eastAsia="Arial Unicode MS" w:cs="Calibri"/>
          <w:color w:val="000000"/>
          <w:sz w:val="24"/>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r>
        <w:rPr>
          <w:rFonts w:eastAsia="Arial Unicode MS" w:cs="Calibri"/>
          <w:b/>
          <w:color w:val="000000"/>
          <w:sz w:val="24"/>
          <w:lang w:val="el-GR"/>
        </w:rPr>
        <w:t>ζ)</w:t>
      </w:r>
      <w:r>
        <w:rPr>
          <w:rFonts w:eastAsia="Arial Unicode MS" w:cs="Calibri"/>
          <w:color w:val="000000"/>
          <w:sz w:val="24"/>
          <w:lang w:val="el-GR"/>
        </w:rPr>
        <w:t xml:space="preserve"> τους όρους ότι: </w:t>
      </w:r>
      <w:r>
        <w:rPr>
          <w:rFonts w:eastAsia="Arial Unicode MS" w:cs="Calibri"/>
          <w:b/>
          <w:color w:val="000000"/>
          <w:sz w:val="24"/>
          <w:lang w:val="el-GR"/>
        </w:rPr>
        <w:t>αα)</w:t>
      </w:r>
      <w:r>
        <w:rPr>
          <w:rFonts w:eastAsia="Arial Unicode MS" w:cs="Calibri"/>
          <w:color w:val="000000"/>
          <w:sz w:val="24"/>
          <w:lang w:val="el-GR"/>
        </w:rPr>
        <w:t xml:space="preserve"> η εγγύηση παρέχεται ανέκκλητα και ανεπιφύλακτα, ο δε εκδότης παραιτείται του δικαιώματος της διαιρέσεως και της διζήσεως, και </w:t>
      </w:r>
      <w:r>
        <w:rPr>
          <w:rFonts w:eastAsia="Arial Unicode MS" w:cs="Calibri"/>
          <w:b/>
          <w:color w:val="000000"/>
          <w:sz w:val="24"/>
          <w:lang w:val="el-GR"/>
        </w:rPr>
        <w:t>ββ)</w:t>
      </w:r>
      <w:r>
        <w:rPr>
          <w:rFonts w:eastAsia="Arial Unicode MS" w:cs="Calibri"/>
          <w:color w:val="000000"/>
          <w:sz w:val="24"/>
          <w:lang w:val="el-GR"/>
        </w:rPr>
        <w:t xml:space="preserve"> ότι σε περίπτωση κατάπτωσης αυτής, το ποσό της κατάπτωσης υπόκειται στο εκάστοτε ισχύον τέλος χαρτοσήμου, </w:t>
      </w:r>
      <w:r>
        <w:rPr>
          <w:rFonts w:eastAsia="Arial Unicode MS" w:cs="Calibri"/>
          <w:b/>
          <w:color w:val="000000"/>
          <w:sz w:val="24"/>
          <w:lang w:val="el-GR"/>
        </w:rPr>
        <w:t>η)</w:t>
      </w:r>
      <w:r>
        <w:rPr>
          <w:rFonts w:eastAsia="Arial Unicode MS" w:cs="Calibri"/>
          <w:color w:val="000000"/>
          <w:sz w:val="24"/>
          <w:lang w:val="el-GR"/>
        </w:rPr>
        <w:t xml:space="preserve"> τα στοιχεία της σχετικής διακήρυξης και την καταληκτική ημερομηνία υποβολής προσφορών, </w:t>
      </w:r>
      <w:r>
        <w:rPr>
          <w:rFonts w:eastAsia="Arial Unicode MS" w:cs="Calibri"/>
          <w:b/>
          <w:color w:val="000000"/>
          <w:sz w:val="24"/>
          <w:lang w:val="el-GR"/>
        </w:rPr>
        <w:t>θ)</w:t>
      </w:r>
      <w:r>
        <w:rPr>
          <w:rFonts w:eastAsia="Arial Unicode MS" w:cs="Calibri"/>
          <w:color w:val="000000"/>
          <w:sz w:val="24"/>
          <w:lang w:val="el-GR"/>
        </w:rPr>
        <w:t xml:space="preserve"> την ημερομηνία λήξης ή τον χρόνο ισχύος της εγγύησης, </w:t>
      </w:r>
      <w:r>
        <w:rPr>
          <w:rFonts w:eastAsia="Arial Unicode MS" w:cs="Calibri"/>
          <w:b/>
          <w:color w:val="000000"/>
          <w:sz w:val="24"/>
          <w:lang w:val="el-GR"/>
        </w:rPr>
        <w:t>ι)</w:t>
      </w:r>
      <w:r>
        <w:rPr>
          <w:rFonts w:eastAsia="Arial Unicode MS" w:cs="Calibri"/>
          <w:color w:val="000000"/>
          <w:sz w:val="24"/>
          <w:lang w:val="el-GR"/>
        </w:rPr>
        <w:t xml:space="preserve"> την ανάληψη υποχρέωσης από τον εκδότη της εγγύησης να καταβάλει το ποσό της εγγύησης ολικά ή μερικά </w:t>
      </w:r>
      <w:r>
        <w:rPr>
          <w:rFonts w:eastAsia="Arial Unicode MS" w:cs="Calibri"/>
          <w:sz w:val="24"/>
          <w:lang w:val="el-GR"/>
        </w:rPr>
        <w:t>εντός πέντε (5) ημερών</w:t>
      </w:r>
      <w:r>
        <w:rPr>
          <w:rFonts w:eastAsia="Arial Unicode MS" w:cs="Calibri"/>
          <w:color w:val="000000"/>
          <w:sz w:val="24"/>
          <w:lang w:val="el-GR"/>
        </w:rPr>
        <w:t xml:space="preserve"> μετά από απλή έγγραφη ειδοποίηση εκείνου προς τον οποίο απευθύνεται και </w:t>
      </w:r>
      <w:r>
        <w:rPr>
          <w:rFonts w:eastAsia="Arial Unicode MS" w:cs="Calibri"/>
          <w:b/>
          <w:color w:val="000000"/>
          <w:sz w:val="24"/>
          <w:lang w:val="el-GR"/>
        </w:rPr>
        <w:t>ια)</w:t>
      </w:r>
      <w:r>
        <w:rPr>
          <w:rFonts w:eastAsia="Arial Unicode MS" w:cs="Calibri"/>
          <w:color w:val="000000"/>
          <w:sz w:val="24"/>
          <w:lang w:val="el-GR"/>
        </w:rPr>
        <w:t xml:space="preserve"> στην περίπτωση των εγγυήσεων καλής εκτέλεσης και προκαταβολής, τον αριθμό και τον τίτλο της σχετικής </w:t>
      </w:r>
      <w:r>
        <w:rPr>
          <w:rFonts w:eastAsia="Arial Unicode MS"/>
          <w:sz w:val="24"/>
          <w:lang w:val="el-GR"/>
        </w:rPr>
        <w:t>σύμβασης</w:t>
      </w:r>
      <w:r>
        <w:rPr>
          <w:rStyle w:val="Style14"/>
          <w:rStyle w:val="Style14"/>
          <w:rFonts w:eastAsia="Arial Unicode MS"/>
          <w:sz w:val="24"/>
          <w:lang w:val="el-GR"/>
        </w:rPr>
        <w:footnoteReference w:id="14"/>
      </w:r>
      <w:r>
        <w:rPr>
          <w:rFonts w:eastAsia="Arial Unicode MS"/>
          <w:sz w:val="24"/>
          <w:lang w:val="el-GR"/>
        </w:rPr>
        <w:t xml:space="preserve">. </w:t>
      </w:r>
    </w:p>
    <w:p>
      <w:pPr>
        <w:pStyle w:val="Normal"/>
        <w:spacing w:lineRule="auto" w:line="276" w:before="0" w:after="0"/>
        <w:rPr>
          <w:rFonts w:eastAsia="Arial Unicode MS"/>
          <w:sz w:val="24"/>
          <w:lang w:val="el-GR"/>
        </w:rPr>
      </w:pPr>
      <w:r>
        <w:rPr>
          <w:rFonts w:eastAsia="Arial Unicode MS"/>
          <w:sz w:val="24"/>
          <w:lang w:val="el-GR"/>
        </w:rPr>
        <w:t>Η περ. αα’ του προηγούμενου εδαφίου ζ’ δεν εφαρμόζεται για τις εγγυήσεις που παρέχονται με γραμμάτιο του Ταμείου Παρακαταθηκών και Δανείων.</w:t>
      </w:r>
    </w:p>
    <w:p>
      <w:pPr>
        <w:pStyle w:val="Normal"/>
        <w:spacing w:lineRule="auto" w:line="276" w:before="0" w:after="0"/>
        <w:rPr>
          <w:rFonts w:eastAsia="Arial Unicode MS" w:cs="Calibri"/>
          <w:b/>
          <w:b/>
          <w:bCs/>
          <w:sz w:val="24"/>
          <w:lang w:val="el-GR"/>
        </w:rPr>
      </w:pPr>
      <w:r>
        <w:rPr>
          <w:rFonts w:eastAsia="Arial Unicode MS" w:cs="Calibri"/>
          <w:b/>
          <w:bCs/>
          <w:sz w:val="24"/>
          <w:lang w:val="el-GR"/>
        </w:rPr>
        <w:t>Σχετικά υποδείγματα παρατίθενται στο ΠΑΡΑΡΤΗΜΑ ΙΙΙ της παρούσης.</w:t>
      </w:r>
    </w:p>
    <w:p>
      <w:pPr>
        <w:pStyle w:val="Normal"/>
        <w:spacing w:lineRule="auto" w:line="276" w:before="0" w:after="0"/>
        <w:rPr>
          <w:rFonts w:eastAsia="Arial Unicode MS" w:cs="Calibri"/>
          <w:b/>
          <w:b/>
          <w:color w:val="000000"/>
          <w:sz w:val="24"/>
          <w:lang w:val="el-GR"/>
        </w:rPr>
      </w:pPr>
      <w:r>
        <w:rPr>
          <w:rFonts w:eastAsia="Arial Unicode MS" w:cs="Calibri"/>
          <w:b/>
          <w:color w:val="000000"/>
          <w:sz w:val="24"/>
          <w:lang w:val="el-GR"/>
        </w:rPr>
        <w:t>Η αναθέτουσα αρχή επικοινωνεί με τους εκδότες των εγγυητικών επιστολών προκειμένου να διαπιστώσει την εγκυρότητά τους.</w:t>
      </w:r>
    </w:p>
    <w:p>
      <w:pPr>
        <w:pStyle w:val="Normal"/>
        <w:keepNext w:val="true"/>
        <w:numPr>
          <w:ilvl w:val="0"/>
          <w:numId w:val="0"/>
        </w:numPr>
        <w:spacing w:lineRule="auto" w:line="276" w:before="0" w:after="0"/>
        <w:ind w:left="207" w:right="0" w:hanging="207"/>
        <w:outlineLvl w:val="2"/>
        <w:rPr>
          <w:sz w:val="24"/>
          <w:lang w:val="el-GR"/>
        </w:rPr>
      </w:pPr>
      <w:r>
        <w:rPr>
          <w:sz w:val="24"/>
          <w:lang w:val="el-GR"/>
        </w:rPr>
      </w:r>
    </w:p>
    <w:p>
      <w:pPr>
        <w:pStyle w:val="Normal"/>
        <w:keepNext w:val="true"/>
        <w:numPr>
          <w:ilvl w:val="0"/>
          <w:numId w:val="0"/>
        </w:numPr>
        <w:spacing w:lineRule="auto" w:line="276" w:before="0" w:after="0"/>
        <w:ind w:left="207" w:right="0" w:hanging="207"/>
        <w:outlineLvl w:val="2"/>
        <w:rPr/>
      </w:pPr>
      <w:bookmarkStart w:id="49" w:name="__RefHeading___Toc35563_1890191151"/>
      <w:bookmarkStart w:id="50" w:name="_Toc127963053"/>
      <w:bookmarkStart w:id="51" w:name="_Toc95375517"/>
      <w:bookmarkStart w:id="52" w:name="_Toc92878956"/>
      <w:bookmarkEnd w:id="49"/>
      <w:r>
        <w:rPr>
          <w:rFonts w:eastAsia="Arial Unicode MS"/>
          <w:b/>
          <w:bCs/>
          <w:sz w:val="24"/>
          <w:lang w:val="el-GR"/>
        </w:rPr>
        <w:t>2.1.6 Προστασία Προσωπικών Δεδομένων</w:t>
      </w:r>
      <w:bookmarkEnd w:id="50"/>
      <w:bookmarkEnd w:id="51"/>
      <w:bookmarkEnd w:id="52"/>
      <w:r>
        <w:rPr>
          <w:rFonts w:eastAsia="Arial Unicode MS"/>
          <w:b/>
          <w:bCs/>
          <w:sz w:val="24"/>
          <w:lang w:val="el-GR"/>
        </w:rPr>
        <w:t xml:space="preserve"> </w:t>
      </w:r>
    </w:p>
    <w:p>
      <w:pPr>
        <w:pStyle w:val="Normal"/>
        <w:spacing w:lineRule="auto" w:line="276" w:before="0" w:after="0"/>
        <w:rPr/>
      </w:pPr>
      <w:r>
        <w:rPr>
          <w:rFonts w:eastAsia="Arial Unicode MS"/>
          <w:color w:val="000000"/>
          <w:sz w:val="24"/>
          <w:lang w:val="el-GR"/>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w:t>
      </w:r>
      <w:r>
        <w:rPr>
          <w:rFonts w:eastAsia="Arial Unicode MS"/>
          <w:b/>
          <w:color w:val="000000"/>
          <w:sz w:val="24"/>
          <w:lang w:val="el-GR"/>
        </w:rPr>
        <w:t xml:space="preserve">στην ενημέρωση που επισυνάπτεται στην παρούσα </w:t>
      </w:r>
      <w:r>
        <w:rPr>
          <w:rFonts w:eastAsia="Arial Unicode MS"/>
          <w:b/>
          <w:sz w:val="24"/>
          <w:lang w:val="el-GR"/>
        </w:rPr>
        <w:t xml:space="preserve">(ΠΑΡΑΡΤΗΜΑ </w:t>
      </w:r>
      <w:r>
        <w:rPr>
          <w:rFonts w:eastAsia="Arial Unicode MS"/>
          <w:b/>
          <w:sz w:val="24"/>
          <w:lang w:val="en-US"/>
        </w:rPr>
        <w:t>IV</w:t>
      </w:r>
      <w:r>
        <w:rPr>
          <w:rFonts w:eastAsia="Arial Unicode MS"/>
          <w:b/>
          <w:sz w:val="24"/>
          <w:lang w:val="el-GR"/>
        </w:rPr>
        <w:t>).</w:t>
      </w:r>
    </w:p>
    <w:p>
      <w:pPr>
        <w:pStyle w:val="Normal"/>
        <w:spacing w:lineRule="auto" w:line="276" w:before="0" w:after="0"/>
        <w:rPr>
          <w:rFonts w:ascii="Calibri" w:hAnsi="Calibri" w:eastAsia="Arial Unicode MS" w:cs="Calibri"/>
          <w:b/>
          <w:b/>
          <w:sz w:val="24"/>
          <w:lang w:val="el-GR"/>
        </w:rPr>
      </w:pPr>
      <w:r>
        <w:rPr>
          <w:rFonts w:eastAsia="Arial Unicode MS" w:cs="Calibri"/>
          <w:b/>
          <w:sz w:val="24"/>
          <w:lang w:val="el-GR"/>
        </w:rPr>
      </w:r>
    </w:p>
    <w:p>
      <w:pPr>
        <w:pStyle w:val="2"/>
        <w:spacing w:lineRule="auto" w:line="276" w:before="0" w:after="0"/>
        <w:ind w:left="207" w:right="0" w:hanging="567"/>
        <w:rPr>
          <w:rFonts w:ascii="Calibri" w:hAnsi="Calibri" w:eastAsia="Arial Unicode MS" w:cs="Calibri"/>
          <w:sz w:val="24"/>
          <w:szCs w:val="24"/>
          <w:lang w:val="el-GR"/>
        </w:rPr>
      </w:pPr>
      <w:bookmarkStart w:id="53" w:name="__RefHeading___Toc35565_1890191151"/>
      <w:bookmarkStart w:id="54" w:name="_Toc58242653"/>
      <w:bookmarkStart w:id="55" w:name="_Toc492539449"/>
      <w:bookmarkEnd w:id="53"/>
      <w:r>
        <w:rPr>
          <w:rFonts w:eastAsia="Arial Unicode MS" w:cs="Calibri" w:ascii="Calibri" w:hAnsi="Calibri"/>
          <w:sz w:val="24"/>
          <w:szCs w:val="24"/>
          <w:lang w:val="el-GR"/>
        </w:rPr>
        <w:t>2.2</w:t>
        <w:tab/>
        <w:t>Δικαίωμα Συμμετοχής - Κριτήρια Ποιοτικής Επιλογής</w:t>
      </w:r>
      <w:bookmarkEnd w:id="54"/>
      <w:bookmarkEnd w:id="55"/>
    </w:p>
    <w:p>
      <w:pPr>
        <w:pStyle w:val="3"/>
        <w:spacing w:lineRule="auto" w:line="276" w:before="0" w:after="0"/>
        <w:ind w:left="207" w:right="0" w:hanging="567"/>
        <w:rPr/>
      </w:pPr>
      <w:bookmarkStart w:id="56" w:name="__RefHeading___Toc35567_1890191151"/>
      <w:bookmarkStart w:id="57" w:name="_Toc58242654"/>
      <w:bookmarkStart w:id="58" w:name="_Toc492539450"/>
      <w:bookmarkEnd w:id="56"/>
      <w:r>
        <w:rPr>
          <w:rFonts w:eastAsia="Arial Unicode MS" w:cs="Calibri" w:ascii="Calibri" w:hAnsi="Calibri"/>
          <w:sz w:val="24"/>
          <w:szCs w:val="24"/>
          <w:lang w:val="el-GR"/>
        </w:rPr>
        <w:t>2.2.1</w:t>
        <w:tab/>
        <w:t>Δικαίωμα συμμετοχής</w:t>
      </w:r>
      <w:bookmarkEnd w:id="57"/>
      <w:bookmarkEnd w:id="58"/>
      <w:r>
        <w:rPr>
          <w:rFonts w:eastAsia="Arial Unicode MS" w:cs="Calibri" w:ascii="Calibri" w:hAnsi="Calibri"/>
          <w:sz w:val="24"/>
          <w:szCs w:val="24"/>
          <w:lang w:val="el-GR"/>
        </w:rPr>
        <w:t xml:space="preserve"> </w:t>
      </w:r>
    </w:p>
    <w:p>
      <w:pPr>
        <w:pStyle w:val="Normal"/>
        <w:spacing w:lineRule="auto" w:line="276" w:before="120" w:after="0"/>
        <w:rPr/>
      </w:pPr>
      <w:r>
        <w:rPr>
          <w:rFonts w:eastAsia="Arial Unicode MS"/>
          <w:b/>
          <w:bCs/>
          <w:sz w:val="24"/>
          <w:lang w:val="el-GR"/>
        </w:rPr>
        <w:t>1.</w:t>
      </w:r>
      <w:r>
        <w:rPr>
          <w:rFonts w:eastAsia="Arial Unicode MS"/>
          <w:color w:val="00B050"/>
          <w:sz w:val="24"/>
          <w:lang w:val="el-GR"/>
        </w:rPr>
        <w:t xml:space="preserve"> </w:t>
      </w:r>
      <w:r>
        <w:rPr>
          <w:rFonts w:eastAsia="Arial Unicode MS"/>
          <w:sz w:val="24"/>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pPr>
        <w:pStyle w:val="Normal"/>
        <w:spacing w:lineRule="auto" w:line="276" w:before="0" w:after="0"/>
        <w:rPr>
          <w:rFonts w:eastAsia="Arial Unicode MS"/>
          <w:sz w:val="24"/>
          <w:lang w:val="el-GR"/>
        </w:rPr>
      </w:pPr>
      <w:r>
        <w:rPr>
          <w:rFonts w:eastAsia="Arial Unicode MS"/>
          <w:sz w:val="24"/>
          <w:lang w:val="el-GR"/>
        </w:rPr>
        <w:t>α) κράτος-μέλος της Ένωσης,</w:t>
      </w:r>
    </w:p>
    <w:p>
      <w:pPr>
        <w:pStyle w:val="Normal"/>
        <w:spacing w:lineRule="auto" w:line="276" w:before="0" w:after="0"/>
        <w:rPr>
          <w:rFonts w:eastAsia="Arial Unicode MS"/>
          <w:sz w:val="24"/>
          <w:lang w:val="el-GR"/>
        </w:rPr>
      </w:pPr>
      <w:r>
        <w:rPr>
          <w:rFonts w:eastAsia="Arial Unicode MS"/>
          <w:sz w:val="24"/>
          <w:lang w:val="el-GR"/>
        </w:rPr>
        <w:t>β) κράτος-μέλος του Ευρωπαϊκού Οικονομικού Χώρου (Ε.Ο.Χ.),</w:t>
      </w:r>
    </w:p>
    <w:p>
      <w:pPr>
        <w:pStyle w:val="Normal"/>
        <w:spacing w:lineRule="auto" w:line="276" w:before="0" w:after="0"/>
        <w:rPr>
          <w:rFonts w:eastAsia="Arial Unicode MS"/>
          <w:sz w:val="24"/>
          <w:lang w:val="el-GR"/>
        </w:rPr>
      </w:pPr>
      <w:r>
        <w:rPr>
          <w:rFonts w:eastAsia="Arial Unicode MS"/>
          <w:sz w:val="24"/>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pPr>
        <w:pStyle w:val="Normal"/>
        <w:spacing w:lineRule="auto" w:line="276" w:before="0" w:after="0"/>
        <w:rPr>
          <w:rFonts w:eastAsia="Arial Unicode MS"/>
          <w:sz w:val="24"/>
          <w:lang w:val="el-GR"/>
        </w:rPr>
      </w:pPr>
      <w:r>
        <w:rPr>
          <w:rFonts w:eastAsia="Arial Unicode MS"/>
          <w:sz w:val="24"/>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pPr>
        <w:pStyle w:val="Normal"/>
        <w:spacing w:lineRule="auto" w:line="276" w:before="0" w:after="0"/>
        <w:rPr>
          <w:rFonts w:eastAsia="Arial Unicode MS"/>
          <w:sz w:val="24"/>
          <w:lang w:val="el-GR"/>
        </w:rPr>
      </w:pPr>
      <w:r>
        <w:rPr>
          <w:rFonts w:eastAsia="Arial Unicode MS"/>
          <w:sz w:val="24"/>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pPr>
        <w:pStyle w:val="Normal"/>
        <w:spacing w:lineRule="auto" w:line="276" w:before="0" w:after="0"/>
        <w:rPr/>
      </w:pPr>
      <w:r>
        <w:rPr>
          <w:rFonts w:eastAsia="Arial Unicode MS" w:cs="Calibri"/>
          <w:b/>
          <w:bCs/>
          <w:sz w:val="24"/>
          <w:lang w:val="el-GR"/>
        </w:rPr>
        <w:t>2.</w:t>
      </w:r>
      <w:r>
        <w:rPr>
          <w:rFonts w:eastAsia="Arial Unicode MS" w:cs="Calibri"/>
          <w:sz w:val="24"/>
          <w:lang w:val="el-GR"/>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pPr>
        <w:pStyle w:val="Normal"/>
        <w:spacing w:lineRule="auto" w:line="276" w:before="0" w:after="0"/>
        <w:rPr>
          <w:rFonts w:eastAsia="Arial Unicode MS" w:cs="Calibri"/>
          <w:sz w:val="24"/>
          <w:lang w:val="el-GR"/>
        </w:rPr>
      </w:pPr>
      <w:r>
        <w:rPr>
          <w:rFonts w:eastAsia="Arial Unicode MS" w:cs="Calibri"/>
          <w:sz w:val="24"/>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ολόκληρον. </w:t>
      </w:r>
    </w:p>
    <w:p>
      <w:pPr>
        <w:pStyle w:val="Normal"/>
        <w:spacing w:lineRule="auto" w:line="276" w:before="0" w:after="0"/>
        <w:rPr/>
      </w:pPr>
      <w:r>
        <w:rPr>
          <w:rFonts w:eastAsia="Arial Unicode MS" w:cs="Calibri"/>
          <w:b/>
          <w:bCs/>
          <w:sz w:val="24"/>
          <w:lang w:val="el-GR"/>
        </w:rPr>
        <w:t xml:space="preserve">3. </w:t>
      </w:r>
      <w:r>
        <w:rPr>
          <w:rFonts w:eastAsia="Arial Unicode MS" w:cs="Calibri"/>
          <w:sz w:val="24"/>
          <w:lang w:val="el-GR"/>
        </w:rPr>
        <w:t xml:space="preserve">Απαγορεύεται η συμμετοχή στην διαδικασία σύναψης της παρούσας συμφωνίας-πλαίσιο/σύμβασης οικονομικών φορέων, με οποιονδήποτε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(L 111/1) και συγκεκριμένα αν ο οικονομικός φορέας είναι : α) Ρώσος υπήκοος ή φυσικό ή νομικό πρόσωπο, οντότητα ή φορέας που έχει την έδρα του στη Ρωσία, ή β) νομικό πρόσωπο, οντότητα ή φορέας του οποίου τα δικαιώματα ιδιοκτησίας κατέχει άμεσα ή έμμεσα σε ποσοστό άνω του 50 % οντότητα αναφερόμενη στο στοιχείο α) της παρούσας παραγράφου ή 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της αξίας της σύμβασης, των υπεργολάβων, προμηθευτών ή οντοτήτων στις ικανότητες των οποίων στηρίζεται κατά την έννοια της οδηγίας 2014/24 και του ν. 4412/2016. </w:t>
      </w:r>
    </w:p>
    <w:p>
      <w:pPr>
        <w:pStyle w:val="Normal"/>
        <w:spacing w:lineRule="auto" w:line="276" w:before="0" w:after="0"/>
        <w:rPr>
          <w:rFonts w:eastAsia="Arial Unicode MS" w:cs="Calibri"/>
          <w:sz w:val="24"/>
          <w:lang w:val="el-GR"/>
        </w:rPr>
      </w:pPr>
      <w:r>
        <w:rPr>
          <w:rFonts w:eastAsia="Arial Unicode MS" w:cs="Calibri"/>
          <w:sz w:val="24"/>
          <w:lang w:val="el-GR"/>
        </w:rPr>
        <w:t xml:space="preserve">Οι οικονομικοί φορείς υποβάλλουν σχετική υπεύθυνη δήλωση με αντίστοιχο περιεχόμενο, μαζί με τα λοιπά δικαιολογητικά συμμετοχής τους, σύμφωνα με τα αναλυτικότερα οριζόμενα στην υποπαρ. 2.4.3.1 της παρούσας. </w:t>
      </w:r>
    </w:p>
    <w:p>
      <w:pPr>
        <w:pStyle w:val="Normal"/>
        <w:spacing w:lineRule="auto" w:line="276" w:before="0" w:after="0"/>
        <w:rPr>
          <w:rFonts w:eastAsia="Arial Unicode MS" w:cs="Calibri"/>
          <w:b/>
          <w:b/>
          <w:bCs/>
          <w:sz w:val="24"/>
          <w:lang w:val="el-GR"/>
        </w:rPr>
      </w:pPr>
      <w:r>
        <w:rPr>
          <w:rFonts w:eastAsia="Arial Unicode MS" w:cs="Calibri"/>
          <w:b/>
          <w:bCs/>
          <w:sz w:val="24"/>
          <w:lang w:val="el-GR"/>
        </w:rPr>
        <w:t>Η συμμετοχή στη διαδικασία του διαγωνισμού συνεπάγεται πλήρη και ανεπιφύλακτη αποδοχή των όρων της διακήρυξης και των παραρτημάτων της.</w:t>
      </w:r>
    </w:p>
    <w:p>
      <w:pPr>
        <w:pStyle w:val="Normal"/>
        <w:spacing w:lineRule="auto" w:line="276" w:before="0" w:after="0"/>
        <w:rPr>
          <w:rFonts w:ascii="Calibri" w:hAnsi="Calibri" w:eastAsia="Arial Unicode MS" w:cs="Calibri"/>
          <w:sz w:val="24"/>
          <w:lang w:val="el-GR"/>
        </w:rPr>
      </w:pPr>
      <w:r>
        <w:rPr>
          <w:rFonts w:eastAsia="Arial Unicode MS" w:cs="Calibri"/>
          <w:sz w:val="24"/>
          <w:lang w:val="el-GR"/>
        </w:rPr>
      </w:r>
    </w:p>
    <w:p>
      <w:pPr>
        <w:pStyle w:val="3"/>
        <w:spacing w:lineRule="auto" w:line="276" w:before="0" w:after="0"/>
        <w:ind w:left="207" w:right="0" w:hanging="567"/>
        <w:rPr>
          <w:rFonts w:ascii="Calibri" w:hAnsi="Calibri" w:eastAsia="Arial Unicode MS" w:cs="Calibri"/>
          <w:sz w:val="24"/>
          <w:szCs w:val="24"/>
          <w:lang w:val="el-GR"/>
        </w:rPr>
      </w:pPr>
      <w:bookmarkStart w:id="59" w:name="__RefHeading___Toc35569_1890191151"/>
      <w:bookmarkStart w:id="60" w:name="_Toc58242655"/>
      <w:bookmarkStart w:id="61" w:name="_Toc492539451"/>
      <w:bookmarkEnd w:id="59"/>
      <w:r>
        <w:rPr>
          <w:rFonts w:eastAsia="Arial Unicode MS" w:cs="Calibri" w:ascii="Calibri" w:hAnsi="Calibri"/>
          <w:sz w:val="24"/>
          <w:szCs w:val="24"/>
          <w:lang w:val="el-GR"/>
        </w:rPr>
        <w:t>2.2.2</w:t>
        <w:tab/>
        <w:t>Εγγύηση συμμετοχής</w:t>
      </w:r>
      <w:bookmarkEnd w:id="60"/>
      <w:bookmarkEnd w:id="61"/>
    </w:p>
    <w:p>
      <w:pPr>
        <w:pStyle w:val="Normal"/>
        <w:spacing w:lineRule="auto" w:line="276"/>
        <w:rPr/>
      </w:pPr>
      <w:r>
        <w:rPr>
          <w:rFonts w:eastAsia="Arial Unicode MS" w:cs="Calibri"/>
          <w:b/>
          <w:bCs/>
          <w:sz w:val="24"/>
          <w:lang w:val="el-GR"/>
        </w:rPr>
        <w:t xml:space="preserve">2.2.2.1. </w:t>
      </w:r>
      <w:r>
        <w:rPr>
          <w:rFonts w:eastAsia="Arial Unicode MS" w:cs="Calibri"/>
          <w:bCs/>
          <w:sz w:val="24"/>
          <w:lang w:val="el-GR"/>
        </w:rPr>
        <w:t xml:space="preserve">Για </w:t>
      </w:r>
      <w:r>
        <w:rPr>
          <w:rFonts w:eastAsia="Arial Unicode MS" w:cs="Calibri"/>
          <w:sz w:val="24"/>
          <w:lang w:val="el-GR"/>
        </w:rPr>
        <w:t>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ποσού συμμετοχής 2% πλέον ΦΠΑ, για κάθε τμήμα που θα προσφερθεί ως κάτωθι :</w:t>
      </w:r>
    </w:p>
    <w:p>
      <w:pPr>
        <w:pStyle w:val="Normal"/>
        <w:spacing w:lineRule="auto" w:line="276"/>
        <w:rPr>
          <w:rFonts w:eastAsia="Arial Unicode MS" w:cs="Calibri"/>
          <w:sz w:val="24"/>
          <w:lang w:val="el-GR"/>
        </w:rPr>
      </w:pPr>
      <w:r>
        <w:rPr>
          <w:rFonts w:eastAsia="Arial Unicode MS" w:cs="Calibri"/>
          <w:sz w:val="24"/>
          <w:lang w:val="el-GR"/>
        </w:rPr>
      </w:r>
    </w:p>
    <w:p>
      <w:pPr>
        <w:pStyle w:val="Normal"/>
        <w:spacing w:lineRule="auto" w:line="276"/>
        <w:rPr>
          <w:rFonts w:eastAsia="Arial Unicode MS" w:cs="Calibri"/>
          <w:sz w:val="24"/>
          <w:lang w:val="el-GR"/>
        </w:rPr>
      </w:pPr>
      <w:r>
        <w:rPr>
          <w:rFonts w:eastAsia="Arial Unicode MS" w:cs="Calibri"/>
          <w:sz w:val="24"/>
          <w:lang w:val="el-GR"/>
        </w:rPr>
      </w:r>
    </w:p>
    <w:p>
      <w:pPr>
        <w:pStyle w:val="Normal"/>
        <w:spacing w:lineRule="auto" w:line="276"/>
        <w:rPr>
          <w:rFonts w:eastAsia="Arial Unicode MS" w:cs="Calibri"/>
          <w:sz w:val="24"/>
          <w:lang w:val="el-GR"/>
        </w:rPr>
      </w:pPr>
      <w:r>
        <w:rPr>
          <w:rFonts w:eastAsia="Arial Unicode MS" w:cs="Calibri"/>
          <w:sz w:val="24"/>
          <w:lang w:val="el-GR"/>
        </w:rPr>
      </w:r>
    </w:p>
    <w:p>
      <w:pPr>
        <w:pStyle w:val="Normal"/>
        <w:spacing w:lineRule="auto" w:line="276"/>
        <w:rPr>
          <w:rFonts w:eastAsia="Arial Unicode MS" w:cs="Calibri"/>
          <w:sz w:val="24"/>
          <w:lang w:val="el-GR"/>
        </w:rPr>
      </w:pPr>
      <w:r>
        <w:rPr>
          <w:rFonts w:eastAsia="Arial Unicode MS" w:cs="Calibri"/>
          <w:sz w:val="24"/>
          <w:lang w:val="el-GR"/>
        </w:rPr>
      </w:r>
    </w:p>
    <w:tbl>
      <w:tblPr>
        <w:tblW w:w="7935" w:type="dxa"/>
        <w:jc w:val="left"/>
        <w:tblInd w:w="986" w:type="dxa"/>
        <w:tblCellMar>
          <w:top w:w="0" w:type="dxa"/>
          <w:left w:w="108" w:type="dxa"/>
          <w:bottom w:w="0" w:type="dxa"/>
          <w:right w:w="108" w:type="dxa"/>
        </w:tblCellMar>
      </w:tblPr>
      <w:tblGrid>
        <w:gridCol w:w="3060"/>
        <w:gridCol w:w="2955"/>
        <w:gridCol w:w="1920"/>
      </w:tblGrid>
      <w:tr>
        <w:trPr>
          <w:trHeight w:val="733" w:hRule="atLeast"/>
        </w:trPr>
        <w:tc>
          <w:tcPr>
            <w:tcW w:w="3060" w:type="dxa"/>
            <w:tcBorders>
              <w:top w:val="single" w:sz="8" w:space="0" w:color="000000"/>
              <w:left w:val="single" w:sz="8" w:space="0" w:color="000000"/>
              <w:bottom w:val="single" w:sz="8" w:space="0" w:color="000000"/>
              <w:right w:val="single" w:sz="8" w:space="0" w:color="000000"/>
            </w:tcBorders>
            <w:shd w:color="auto" w:fill="BFBFBF" w:val="clear"/>
            <w:vAlign w:val="center"/>
          </w:tcPr>
          <w:p>
            <w:pPr>
              <w:pStyle w:val="Normal"/>
              <w:suppressAutoHyphens w:val="false"/>
              <w:spacing w:lineRule="auto" w:line="276" w:before="0" w:after="0"/>
              <w:jc w:val="center"/>
              <w:rPr>
                <w:b/>
                <w:b/>
                <w:bCs/>
                <w:sz w:val="24"/>
                <w:lang w:val="el-GR" w:eastAsia="el-GR"/>
              </w:rPr>
            </w:pPr>
            <w:r>
              <w:rPr>
                <w:b/>
                <w:bCs/>
                <w:sz w:val="24"/>
                <w:lang w:val="el-GR" w:eastAsia="el-GR"/>
              </w:rPr>
              <w:t>ΤΜΗΜΑΤΑ</w:t>
            </w:r>
          </w:p>
        </w:tc>
        <w:tc>
          <w:tcPr>
            <w:tcW w:w="2955" w:type="dxa"/>
            <w:tcBorders>
              <w:top w:val="single" w:sz="8" w:space="0" w:color="000000"/>
              <w:bottom w:val="single" w:sz="8" w:space="0" w:color="000000"/>
              <w:right w:val="single" w:sz="8" w:space="0" w:color="000000"/>
            </w:tcBorders>
            <w:shd w:color="auto" w:fill="BFBFBF" w:val="clear"/>
            <w:vAlign w:val="center"/>
          </w:tcPr>
          <w:p>
            <w:pPr>
              <w:pStyle w:val="Normal"/>
              <w:suppressAutoHyphens w:val="false"/>
              <w:spacing w:lineRule="auto" w:line="276" w:before="0" w:after="0"/>
              <w:jc w:val="center"/>
              <w:rPr>
                <w:b/>
                <w:b/>
                <w:bCs/>
                <w:sz w:val="24"/>
                <w:lang w:val="el-GR" w:eastAsia="el-GR"/>
              </w:rPr>
            </w:pPr>
            <w:r>
              <w:rPr>
                <w:b/>
                <w:bCs/>
                <w:sz w:val="24"/>
                <w:lang w:val="el-GR" w:eastAsia="el-GR"/>
              </w:rPr>
              <w:t>ΣΥΝΟΛΙΚΗ ΠΙΘΑΝΗ ΔΑΠΑΝΗ ΚΑΘΑΡΙΣΜΟΥ (άνευ ΦΠΑ)</w:t>
            </w:r>
          </w:p>
        </w:tc>
        <w:tc>
          <w:tcPr>
            <w:tcW w:w="1920" w:type="dxa"/>
            <w:tcBorders>
              <w:top w:val="single" w:sz="8" w:space="0" w:color="000000"/>
              <w:bottom w:val="single" w:sz="8" w:space="0" w:color="000000"/>
              <w:right w:val="single" w:sz="8" w:space="0" w:color="000000"/>
            </w:tcBorders>
            <w:shd w:color="auto" w:fill="BFBFBF" w:val="clear"/>
            <w:vAlign w:val="center"/>
          </w:tcPr>
          <w:p>
            <w:pPr>
              <w:pStyle w:val="Normal"/>
              <w:suppressAutoHyphens w:val="false"/>
              <w:spacing w:lineRule="auto" w:line="276" w:before="0" w:after="0"/>
              <w:jc w:val="center"/>
              <w:rPr>
                <w:b/>
                <w:b/>
                <w:bCs/>
                <w:sz w:val="24"/>
                <w:lang w:val="el-GR" w:eastAsia="el-GR"/>
              </w:rPr>
            </w:pPr>
            <w:r>
              <w:rPr>
                <w:b/>
                <w:bCs/>
                <w:sz w:val="24"/>
                <w:lang w:val="el-GR" w:eastAsia="el-GR"/>
              </w:rPr>
              <w:t>ΕΓΓΥΗΤΙΚΗ ΣΥΜΜΕΤΟΧΗΣ (2%)</w:t>
            </w:r>
          </w:p>
        </w:tc>
      </w:tr>
      <w:tr>
        <w:trPr/>
        <w:tc>
          <w:tcPr>
            <w:tcW w:w="3060" w:type="dxa"/>
            <w:tcBorders>
              <w:left w:val="single" w:sz="8" w:space="0" w:color="000000"/>
              <w:bottom w:val="single" w:sz="8" w:space="0" w:color="000000"/>
              <w:right w:val="single" w:sz="8" w:space="0" w:color="000000"/>
            </w:tcBorders>
            <w:shd w:color="auto" w:fill="auto" w:val="clear"/>
            <w:vAlign w:val="center"/>
          </w:tcPr>
          <w:p>
            <w:pPr>
              <w:pStyle w:val="Normal"/>
              <w:suppressAutoHyphens w:val="false"/>
              <w:spacing w:lineRule="auto" w:line="240" w:before="0" w:after="0"/>
              <w:jc w:val="center"/>
              <w:rPr>
                <w:b/>
                <w:b/>
                <w:bCs/>
                <w:color w:val="000000"/>
                <w:sz w:val="24"/>
                <w:lang w:val="el-GR" w:eastAsia="el-GR"/>
              </w:rPr>
            </w:pPr>
            <w:r>
              <w:rPr>
                <w:b/>
                <w:bCs/>
                <w:color w:val="000000"/>
                <w:sz w:val="24"/>
                <w:lang w:val="el-GR" w:eastAsia="el-GR"/>
              </w:rPr>
              <w:t>ΤΜΗΜΑ  1 - ΛΑΡΙΣΑ</w:t>
            </w:r>
          </w:p>
        </w:tc>
        <w:tc>
          <w:tcPr>
            <w:tcW w:w="2955" w:type="dxa"/>
            <w:tcBorders>
              <w:bottom w:val="single" w:sz="8" w:space="0" w:color="000000"/>
              <w:right w:val="single" w:sz="8" w:space="0" w:color="000000"/>
            </w:tcBorders>
            <w:shd w:color="auto" w:fill="auto" w:val="clear"/>
            <w:vAlign w:val="center"/>
          </w:tcPr>
          <w:p>
            <w:pPr>
              <w:pStyle w:val="Normal"/>
              <w:suppressAutoHyphens w:val="false"/>
              <w:spacing w:lineRule="auto" w:line="240" w:before="0" w:after="0"/>
              <w:jc w:val="center"/>
              <w:rPr>
                <w:b/>
                <w:b/>
                <w:bCs/>
                <w:color w:val="000000"/>
                <w:sz w:val="24"/>
                <w:lang w:val="el-GR" w:eastAsia="el-GR"/>
              </w:rPr>
            </w:pPr>
            <w:r>
              <w:rPr>
                <w:b/>
                <w:bCs/>
                <w:color w:val="000000"/>
                <w:sz w:val="24"/>
                <w:lang w:val="el-GR" w:eastAsia="el-GR"/>
              </w:rPr>
              <w:t>101.104,80</w:t>
            </w:r>
          </w:p>
        </w:tc>
        <w:tc>
          <w:tcPr>
            <w:tcW w:w="1920" w:type="dxa"/>
            <w:tcBorders>
              <w:bottom w:val="single" w:sz="8" w:space="0" w:color="000000"/>
              <w:right w:val="single" w:sz="8" w:space="0" w:color="000000"/>
            </w:tcBorders>
            <w:shd w:color="auto" w:fill="auto" w:val="clear"/>
            <w:vAlign w:val="center"/>
          </w:tcPr>
          <w:p>
            <w:pPr>
              <w:pStyle w:val="Normal"/>
              <w:suppressAutoHyphens w:val="false"/>
              <w:spacing w:lineRule="auto" w:line="240" w:before="0" w:after="0"/>
              <w:jc w:val="center"/>
              <w:rPr>
                <w:b/>
                <w:b/>
                <w:bCs/>
                <w:sz w:val="24"/>
              </w:rPr>
            </w:pPr>
            <w:r>
              <w:rPr>
                <w:b/>
                <w:bCs/>
                <w:sz w:val="24"/>
              </w:rPr>
              <w:t>2.022,10</w:t>
            </w:r>
          </w:p>
        </w:tc>
      </w:tr>
      <w:tr>
        <w:trPr/>
        <w:tc>
          <w:tcPr>
            <w:tcW w:w="3060" w:type="dxa"/>
            <w:tcBorders>
              <w:left w:val="single" w:sz="8" w:space="0" w:color="000000"/>
              <w:bottom w:val="single" w:sz="8" w:space="0" w:color="000000"/>
              <w:right w:val="single" w:sz="8" w:space="0" w:color="000000"/>
            </w:tcBorders>
            <w:shd w:color="auto" w:fill="auto" w:val="clear"/>
            <w:vAlign w:val="center"/>
          </w:tcPr>
          <w:p>
            <w:pPr>
              <w:pStyle w:val="Normal"/>
              <w:suppressAutoHyphens w:val="false"/>
              <w:spacing w:lineRule="auto" w:line="240" w:before="0" w:after="0"/>
              <w:jc w:val="center"/>
              <w:rPr>
                <w:b/>
                <w:b/>
                <w:bCs/>
                <w:color w:val="000000"/>
                <w:sz w:val="24"/>
                <w:lang w:val="el-GR" w:eastAsia="el-GR"/>
              </w:rPr>
            </w:pPr>
            <w:r>
              <w:rPr>
                <w:b/>
                <w:bCs/>
                <w:color w:val="000000"/>
                <w:sz w:val="24"/>
                <w:lang w:val="el-GR" w:eastAsia="el-GR"/>
              </w:rPr>
              <w:t>ΤΜΗΜΑ 2 - ΚΑΡΔΙΤΣΑ</w:t>
            </w:r>
          </w:p>
        </w:tc>
        <w:tc>
          <w:tcPr>
            <w:tcW w:w="2955" w:type="dxa"/>
            <w:tcBorders>
              <w:bottom w:val="single" w:sz="8" w:space="0" w:color="000000"/>
              <w:right w:val="single" w:sz="8" w:space="0" w:color="000000"/>
            </w:tcBorders>
            <w:shd w:color="auto" w:fill="auto" w:val="clear"/>
            <w:vAlign w:val="center"/>
          </w:tcPr>
          <w:p>
            <w:pPr>
              <w:pStyle w:val="Normal"/>
              <w:suppressAutoHyphens w:val="false"/>
              <w:spacing w:lineRule="auto" w:line="240" w:before="0" w:after="0"/>
              <w:jc w:val="center"/>
              <w:rPr>
                <w:b/>
                <w:b/>
                <w:bCs/>
                <w:color w:val="000000"/>
                <w:sz w:val="24"/>
                <w:lang w:val="en-US" w:eastAsia="el-GR"/>
              </w:rPr>
            </w:pPr>
            <w:r>
              <w:rPr>
                <w:b/>
                <w:bCs/>
                <w:color w:val="000000"/>
                <w:sz w:val="24"/>
                <w:lang w:val="en-US" w:eastAsia="el-GR"/>
              </w:rPr>
              <w:t>22.248,00</w:t>
            </w:r>
          </w:p>
        </w:tc>
        <w:tc>
          <w:tcPr>
            <w:tcW w:w="1920" w:type="dxa"/>
            <w:tcBorders>
              <w:bottom w:val="single" w:sz="8" w:space="0" w:color="000000"/>
              <w:right w:val="single" w:sz="8" w:space="0" w:color="000000"/>
            </w:tcBorders>
            <w:shd w:color="auto" w:fill="auto" w:val="clear"/>
            <w:vAlign w:val="center"/>
          </w:tcPr>
          <w:p>
            <w:pPr>
              <w:pStyle w:val="Normal"/>
              <w:suppressAutoHyphens w:val="false"/>
              <w:spacing w:lineRule="auto" w:line="240" w:before="0" w:after="0"/>
              <w:jc w:val="center"/>
              <w:rPr>
                <w:b/>
                <w:b/>
                <w:bCs/>
                <w:color w:val="000000"/>
                <w:sz w:val="24"/>
                <w:lang w:val="el-GR" w:eastAsia="el-GR"/>
              </w:rPr>
            </w:pPr>
            <w:r>
              <w:rPr>
                <w:b/>
                <w:bCs/>
                <w:color w:val="000000"/>
                <w:sz w:val="24"/>
                <w:lang w:val="el-GR" w:eastAsia="el-GR"/>
              </w:rPr>
              <w:t>444,96</w:t>
            </w:r>
          </w:p>
        </w:tc>
      </w:tr>
      <w:tr>
        <w:trPr/>
        <w:tc>
          <w:tcPr>
            <w:tcW w:w="3060" w:type="dxa"/>
            <w:tcBorders>
              <w:left w:val="single" w:sz="8" w:space="0" w:color="000000"/>
              <w:bottom w:val="single" w:sz="8" w:space="0" w:color="000000"/>
              <w:right w:val="single" w:sz="8" w:space="0" w:color="000000"/>
            </w:tcBorders>
            <w:shd w:color="auto" w:fill="auto" w:val="clear"/>
            <w:vAlign w:val="center"/>
          </w:tcPr>
          <w:p>
            <w:pPr>
              <w:pStyle w:val="Normal"/>
              <w:suppressAutoHyphens w:val="false"/>
              <w:spacing w:lineRule="auto" w:line="240" w:before="0" w:after="0"/>
              <w:jc w:val="center"/>
              <w:rPr>
                <w:b/>
                <w:b/>
                <w:bCs/>
                <w:color w:val="000000"/>
                <w:sz w:val="24"/>
                <w:lang w:val="el-GR" w:eastAsia="el-GR"/>
              </w:rPr>
            </w:pPr>
            <w:r>
              <w:rPr>
                <w:b/>
                <w:bCs/>
                <w:color w:val="000000"/>
                <w:sz w:val="24"/>
                <w:lang w:val="el-GR" w:eastAsia="el-GR"/>
              </w:rPr>
              <w:t>ΤΜΗΜΑ 3 - ΒΟΛΟΣ</w:t>
            </w:r>
          </w:p>
        </w:tc>
        <w:tc>
          <w:tcPr>
            <w:tcW w:w="2955" w:type="dxa"/>
            <w:tcBorders>
              <w:bottom w:val="single" w:sz="8" w:space="0" w:color="000000"/>
              <w:right w:val="single" w:sz="8" w:space="0" w:color="000000"/>
            </w:tcBorders>
            <w:shd w:color="auto" w:fill="auto" w:val="clear"/>
            <w:vAlign w:val="center"/>
          </w:tcPr>
          <w:p>
            <w:pPr>
              <w:pStyle w:val="Normal"/>
              <w:suppressAutoHyphens w:val="false"/>
              <w:spacing w:lineRule="auto" w:line="240" w:before="0" w:after="0"/>
              <w:jc w:val="center"/>
              <w:rPr>
                <w:b/>
                <w:b/>
                <w:bCs/>
                <w:color w:val="000000"/>
                <w:sz w:val="24"/>
                <w:lang w:val="el-GR" w:eastAsia="el-GR"/>
              </w:rPr>
            </w:pPr>
            <w:r>
              <w:rPr>
                <w:b/>
                <w:bCs/>
                <w:color w:val="000000"/>
                <w:sz w:val="24"/>
                <w:lang w:val="el-GR" w:eastAsia="el-GR"/>
              </w:rPr>
              <w:t>121.375,20</w:t>
            </w:r>
          </w:p>
        </w:tc>
        <w:tc>
          <w:tcPr>
            <w:tcW w:w="1920" w:type="dxa"/>
            <w:tcBorders>
              <w:bottom w:val="single" w:sz="8" w:space="0" w:color="000000"/>
              <w:right w:val="single" w:sz="8" w:space="0" w:color="000000"/>
            </w:tcBorders>
            <w:shd w:color="auto" w:fill="auto" w:val="clear"/>
            <w:vAlign w:val="center"/>
          </w:tcPr>
          <w:p>
            <w:pPr>
              <w:pStyle w:val="Normal"/>
              <w:suppressAutoHyphens w:val="false"/>
              <w:spacing w:lineRule="auto" w:line="240" w:before="0" w:after="0"/>
              <w:jc w:val="center"/>
              <w:rPr>
                <w:b/>
                <w:b/>
                <w:bCs/>
                <w:color w:val="000000"/>
                <w:sz w:val="24"/>
                <w:lang w:val="el-GR" w:eastAsia="el-GR"/>
              </w:rPr>
            </w:pPr>
            <w:r>
              <w:rPr>
                <w:b/>
                <w:bCs/>
                <w:color w:val="000000"/>
                <w:sz w:val="24"/>
                <w:lang w:val="el-GR" w:eastAsia="el-GR"/>
              </w:rPr>
              <w:t>2.427,50</w:t>
            </w:r>
          </w:p>
        </w:tc>
      </w:tr>
      <w:tr>
        <w:trPr/>
        <w:tc>
          <w:tcPr>
            <w:tcW w:w="3060" w:type="dxa"/>
            <w:tcBorders>
              <w:left w:val="single" w:sz="8" w:space="0" w:color="000000"/>
              <w:bottom w:val="single" w:sz="8" w:space="0" w:color="000000"/>
              <w:right w:val="single" w:sz="8" w:space="0" w:color="000000"/>
            </w:tcBorders>
            <w:shd w:color="auto" w:fill="auto" w:val="clear"/>
            <w:vAlign w:val="center"/>
          </w:tcPr>
          <w:p>
            <w:pPr>
              <w:pStyle w:val="Normal"/>
              <w:suppressAutoHyphens w:val="false"/>
              <w:spacing w:lineRule="auto" w:line="240" w:before="0" w:after="0"/>
              <w:jc w:val="center"/>
              <w:rPr>
                <w:b/>
                <w:b/>
                <w:bCs/>
                <w:color w:val="000000"/>
                <w:sz w:val="24"/>
                <w:lang w:val="el-GR" w:eastAsia="el-GR"/>
              </w:rPr>
            </w:pPr>
            <w:r>
              <w:rPr>
                <w:b/>
                <w:bCs/>
                <w:color w:val="000000"/>
                <w:sz w:val="24"/>
                <w:lang w:val="el-GR" w:eastAsia="el-GR"/>
              </w:rPr>
              <w:t>ΤΜΗΜΑ 4 - ΤΡΙΚΑΛΑ</w:t>
            </w:r>
          </w:p>
        </w:tc>
        <w:tc>
          <w:tcPr>
            <w:tcW w:w="2955" w:type="dxa"/>
            <w:tcBorders>
              <w:bottom w:val="single" w:sz="8" w:space="0" w:color="000000"/>
              <w:right w:val="single" w:sz="8" w:space="0" w:color="000000"/>
            </w:tcBorders>
            <w:shd w:color="auto" w:fill="auto" w:val="clear"/>
            <w:vAlign w:val="center"/>
          </w:tcPr>
          <w:p>
            <w:pPr>
              <w:pStyle w:val="Normal"/>
              <w:suppressAutoHyphens w:val="false"/>
              <w:spacing w:lineRule="auto" w:line="240" w:before="0" w:after="0"/>
              <w:jc w:val="center"/>
              <w:rPr>
                <w:b/>
                <w:b/>
                <w:bCs/>
                <w:color w:val="000000"/>
                <w:sz w:val="24"/>
                <w:lang w:val="el-GR" w:eastAsia="el-GR"/>
              </w:rPr>
            </w:pPr>
            <w:r>
              <w:rPr>
                <w:b/>
                <w:bCs/>
                <w:color w:val="000000"/>
                <w:sz w:val="24"/>
                <w:lang w:val="el-GR" w:eastAsia="el-GR"/>
              </w:rPr>
              <w:t>38.810,40</w:t>
            </w:r>
          </w:p>
        </w:tc>
        <w:tc>
          <w:tcPr>
            <w:tcW w:w="1920" w:type="dxa"/>
            <w:tcBorders>
              <w:bottom w:val="single" w:sz="8" w:space="0" w:color="000000"/>
              <w:right w:val="single" w:sz="8" w:space="0" w:color="000000"/>
            </w:tcBorders>
            <w:shd w:color="auto" w:fill="auto" w:val="clear"/>
            <w:vAlign w:val="center"/>
          </w:tcPr>
          <w:p>
            <w:pPr>
              <w:pStyle w:val="Normal"/>
              <w:suppressAutoHyphens w:val="false"/>
              <w:spacing w:lineRule="auto" w:line="240" w:before="0" w:after="0"/>
              <w:jc w:val="center"/>
              <w:rPr>
                <w:b/>
                <w:b/>
                <w:bCs/>
                <w:color w:val="000000"/>
                <w:sz w:val="24"/>
                <w:lang w:val="el-GR" w:eastAsia="el-GR"/>
              </w:rPr>
            </w:pPr>
            <w:r>
              <w:rPr>
                <w:b/>
                <w:bCs/>
                <w:color w:val="000000"/>
                <w:sz w:val="24"/>
                <w:lang w:val="el-GR" w:eastAsia="el-GR"/>
              </w:rPr>
              <w:t>776,21</w:t>
            </w:r>
          </w:p>
        </w:tc>
      </w:tr>
    </w:tbl>
    <w:p>
      <w:pPr>
        <w:pStyle w:val="Normal"/>
        <w:spacing w:lineRule="auto" w:line="276" w:before="0" w:after="0"/>
        <w:rPr>
          <w:rFonts w:ascii="Calibri" w:hAnsi="Calibri" w:eastAsia="Arial Unicode MS" w:cs="Calibri"/>
          <w:sz w:val="24"/>
          <w:lang w:val="el-GR"/>
        </w:rPr>
      </w:pPr>
      <w:r>
        <w:rPr>
          <w:rFonts w:eastAsia="Arial Unicode MS" w:cs="Calibri"/>
          <w:sz w:val="24"/>
          <w:lang w:val="el-GR"/>
        </w:rPr>
      </w:r>
    </w:p>
    <w:p>
      <w:pPr>
        <w:pStyle w:val="Normal"/>
        <w:spacing w:lineRule="auto" w:line="276" w:before="0" w:after="0"/>
        <w:rPr>
          <w:rFonts w:eastAsia="Arial Unicode MS" w:cs="Calibri"/>
          <w:sz w:val="24"/>
          <w:lang w:val="el-GR"/>
        </w:rPr>
      </w:pPr>
      <w:r>
        <w:rPr>
          <w:rFonts w:eastAsia="Arial Unicode MS" w:cs="Calibri"/>
          <w:sz w:val="24"/>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pPr>
        <w:pStyle w:val="Normal"/>
        <w:spacing w:lineRule="auto" w:line="276" w:before="0" w:after="0"/>
        <w:rPr/>
      </w:pPr>
      <w:r>
        <w:rPr>
          <w:rFonts w:eastAsia="Arial Unicode MS" w:cs="Calibri"/>
          <w:bCs/>
          <w:sz w:val="24"/>
          <w:lang w:val="el-GR"/>
        </w:rPr>
        <w:t xml:space="preserve">Η εγγύηση συμμετοχής πρέπει να ισχύει τουλάχιστον για </w:t>
      </w:r>
      <w:r>
        <w:rPr>
          <w:rFonts w:eastAsia="Arial Unicode MS" w:cs="Calibri"/>
          <w:b/>
          <w:bCs/>
          <w:sz w:val="24"/>
          <w:lang w:val="el-GR"/>
        </w:rPr>
        <w:t>τριάντα (30) ημέρες μετά τη λήξη του χρόνου ισχύος της προσφοράς</w:t>
      </w:r>
      <w:r>
        <w:rPr>
          <w:rFonts w:eastAsia="Arial Unicode MS" w:cs="Calibri"/>
          <w:bCs/>
          <w:sz w:val="24"/>
          <w:lang w:val="el-GR"/>
        </w:rPr>
        <w:t xml:space="preserve"> του άρθρου 2.4.5 της παρούσας,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pPr>
        <w:pStyle w:val="Normal"/>
        <w:spacing w:lineRule="auto" w:line="276"/>
        <w:rPr>
          <w:sz w:val="24"/>
          <w:lang w:val="el-GR"/>
        </w:rPr>
      </w:pPr>
      <w:r>
        <w:rPr>
          <w:sz w:val="24"/>
          <w:lang w:val="el-GR"/>
        </w:rPr>
      </w:r>
    </w:p>
    <w:p>
      <w:pPr>
        <w:pStyle w:val="Normal"/>
        <w:pBdr>
          <w:top w:val="single" w:sz="4" w:space="1" w:color="000000"/>
          <w:left w:val="single" w:sz="4" w:space="4" w:color="000000"/>
          <w:bottom w:val="single" w:sz="4" w:space="1" w:color="000000"/>
          <w:right w:val="single" w:sz="4" w:space="4" w:color="000000"/>
        </w:pBdr>
        <w:shd w:val="clear" w:color="auto" w:fill="F2F2F2"/>
        <w:spacing w:lineRule="auto" w:line="276" w:before="120" w:after="0"/>
        <w:rPr/>
      </w:pPr>
      <w:r>
        <w:rPr>
          <w:rFonts w:eastAsia="Arial Unicode MS"/>
          <w:b/>
          <w:bCs/>
          <w:sz w:val="24"/>
          <w:lang w:val="el-GR"/>
        </w:rPr>
        <w:t>Οι ΠΡΩΤΟΤΥΠΕΣ ΕΓΓΥΗΣΕΙΣ ΣΥΜΜΕΤΟΧΗΣ,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ΑΠΟΣΦΡΑΓΙΣΗΣ των προσφορών που ορίζεται στην παρ. 3.1 της παρούσας, άλλως η προσφορά απορρίπτεται ως απαράδεκτη, μετά από γνώμη της Επιτροπής Διαγωνισμού</w:t>
      </w:r>
      <w:r>
        <w:rPr>
          <w:rFonts w:eastAsia="Arial Unicode MS"/>
          <w:bCs/>
          <w:sz w:val="24"/>
          <w:lang w:val="el-GR"/>
        </w:rPr>
        <w:t>.</w:t>
      </w:r>
    </w:p>
    <w:p>
      <w:pPr>
        <w:pStyle w:val="Normal"/>
        <w:spacing w:lineRule="auto" w:line="276" w:before="0" w:after="0"/>
        <w:rPr>
          <w:rFonts w:ascii="Calibri" w:hAnsi="Calibri" w:eastAsia="Arial Unicode MS" w:cs="Calibri"/>
          <w:bCs/>
          <w:sz w:val="24"/>
          <w:lang w:val="el-GR"/>
        </w:rPr>
      </w:pPr>
      <w:r>
        <w:rPr>
          <w:rFonts w:eastAsia="Arial Unicode MS" w:cs="Calibri"/>
          <w:bCs/>
          <w:sz w:val="24"/>
          <w:lang w:val="el-GR"/>
        </w:rPr>
      </w:r>
    </w:p>
    <w:p>
      <w:pPr>
        <w:pStyle w:val="Normal"/>
        <w:spacing w:lineRule="auto" w:line="276" w:before="0" w:after="0"/>
        <w:rPr/>
      </w:pPr>
      <w:r>
        <w:rPr>
          <w:rFonts w:eastAsia="Arial Unicode MS" w:cs="Calibri"/>
          <w:b/>
          <w:bCs/>
          <w:sz w:val="24"/>
          <w:lang w:val="el-GR"/>
        </w:rPr>
        <w:t>2.2.2.2.</w:t>
      </w:r>
      <w:r>
        <w:rPr>
          <w:rFonts w:eastAsia="Arial Unicode MS" w:cs="Calibri"/>
          <w:b/>
          <w:sz w:val="24"/>
          <w:lang w:val="el-GR"/>
        </w:rPr>
        <w:t xml:space="preserve"> </w:t>
      </w:r>
      <w:r>
        <w:rPr>
          <w:rFonts w:eastAsia="Arial Unicode MS" w:cs="Calibri"/>
          <w:sz w:val="24"/>
          <w:lang w:val="el-GR"/>
        </w:rPr>
        <w:t>Η εγγύηση συμμετοχής επιστρέφεται στον ανάδοχο με την προσκόμιση της εγγύησης καλής εκτέλεσης.</w:t>
      </w:r>
    </w:p>
    <w:p>
      <w:pPr>
        <w:pStyle w:val="Normal"/>
        <w:spacing w:lineRule="auto" w:line="276" w:before="0" w:after="0"/>
        <w:rPr/>
      </w:pPr>
      <w:r>
        <w:rPr>
          <w:rFonts w:eastAsia="Arial Unicode MS" w:cs="Calibri"/>
          <w:sz w:val="24"/>
          <w:lang w:val="el-GR"/>
        </w:rPr>
        <w:t>Η εγγύηση συμμετοχής επιστρέφεται στους λοιπούς προσφέροντες σύμφωνα με τα ειδικότερα οριζόμενα στο άρθρο 72 του ν.4412/2016</w:t>
      </w:r>
      <w:r>
        <w:rPr>
          <w:rStyle w:val="Style14"/>
          <w:rStyle w:val="Style14"/>
          <w:rFonts w:eastAsia="Arial Unicode MS" w:cs="Calibri"/>
          <w:sz w:val="24"/>
          <w:lang w:val="el-GR"/>
        </w:rPr>
        <w:footnoteReference w:id="15"/>
      </w:r>
      <w:r>
        <w:rPr>
          <w:rFonts w:eastAsia="Arial Unicode MS" w:cs="Calibri"/>
          <w:sz w:val="24"/>
          <w:lang w:val="el-GR"/>
        </w:rPr>
        <w:t xml:space="preserve">. </w:t>
      </w:r>
    </w:p>
    <w:p>
      <w:pPr>
        <w:pStyle w:val="Normal"/>
        <w:spacing w:lineRule="auto" w:line="276" w:before="0" w:after="0"/>
        <w:rPr/>
      </w:pPr>
      <w:r>
        <w:rPr>
          <w:rFonts w:eastAsia="Arial Unicode MS" w:cs="Calibri"/>
          <w:b/>
          <w:sz w:val="24"/>
          <w:lang w:val="el-GR"/>
        </w:rPr>
        <w:t>2.2.2.3.</w:t>
      </w:r>
      <w:r>
        <w:rPr>
          <w:rFonts w:eastAsia="Arial Unicode MS" w:cs="Calibri"/>
          <w:sz w:val="24"/>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Pr>
          <w:rStyle w:val="Style14"/>
          <w:rStyle w:val="Style14"/>
          <w:rFonts w:eastAsia="Arial Unicode MS" w:cs="Calibri"/>
          <w:sz w:val="24"/>
        </w:rPr>
        <w:footnoteReference w:id="16"/>
      </w:r>
      <w:r>
        <w:rPr>
          <w:rFonts w:eastAsia="Arial Unicode MS" w:cs="Calibri"/>
          <w:sz w:val="24"/>
          <w:lang w:val="el-GR"/>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pPr>
        <w:pStyle w:val="Normal"/>
        <w:spacing w:lineRule="auto" w:line="276" w:before="0" w:after="0"/>
        <w:rPr>
          <w:rFonts w:ascii="Calibri" w:hAnsi="Calibri" w:eastAsia="Arial Unicode MS" w:cs="Calibri"/>
          <w:sz w:val="24"/>
          <w:lang w:val="el-GR"/>
        </w:rPr>
      </w:pPr>
      <w:r>
        <w:rPr>
          <w:rFonts w:eastAsia="Arial Unicode MS" w:cs="Calibri"/>
          <w:sz w:val="24"/>
          <w:lang w:val="el-GR"/>
        </w:rPr>
      </w:r>
    </w:p>
    <w:p>
      <w:pPr>
        <w:pStyle w:val="3"/>
        <w:spacing w:lineRule="auto" w:line="276" w:before="0" w:after="0"/>
        <w:ind w:left="207" w:right="0" w:hanging="567"/>
        <w:rPr/>
      </w:pPr>
      <w:bookmarkStart w:id="62" w:name="__RefHeading___Toc35571_1890191151"/>
      <w:bookmarkStart w:id="63" w:name="_Toc58242656"/>
      <w:bookmarkStart w:id="64" w:name="_Toc492539452"/>
      <w:bookmarkEnd w:id="62"/>
      <w:r>
        <w:rPr>
          <w:rFonts w:eastAsia="Arial Unicode MS" w:cs="Calibri" w:ascii="Calibri" w:hAnsi="Calibri"/>
          <w:sz w:val="24"/>
          <w:szCs w:val="24"/>
          <w:lang w:val="el-GR"/>
        </w:rPr>
        <w:t>2.2.3</w:t>
        <w:tab/>
        <w:t>Λόγοι αποκλεισμού</w:t>
      </w:r>
      <w:bookmarkEnd w:id="63"/>
      <w:bookmarkEnd w:id="64"/>
      <w:r>
        <w:rPr>
          <w:rStyle w:val="Style14"/>
          <w:rStyle w:val="Style14"/>
          <w:rFonts w:eastAsia="Arial Unicode MS" w:cs="Calibri" w:ascii="Calibri" w:hAnsi="Calibri"/>
          <w:sz w:val="24"/>
          <w:szCs w:val="24"/>
          <w:lang w:val="el-GR"/>
        </w:rPr>
        <w:footnoteReference w:id="17"/>
      </w:r>
      <w:r>
        <w:rPr>
          <w:rFonts w:eastAsia="Arial Unicode MS" w:cs="Calibri" w:ascii="Calibri" w:hAnsi="Calibri"/>
          <w:sz w:val="24"/>
          <w:szCs w:val="24"/>
          <w:lang w:val="el-GR"/>
        </w:rPr>
        <w:t xml:space="preserve"> </w:t>
      </w:r>
    </w:p>
    <w:p>
      <w:pPr>
        <w:pStyle w:val="Normal"/>
        <w:spacing w:lineRule="auto" w:line="276" w:before="0" w:after="0"/>
        <w:rPr>
          <w:rFonts w:eastAsia="Arial Unicode MS" w:cs="Calibri"/>
          <w:sz w:val="24"/>
          <w:lang w:val="el-GR"/>
        </w:rPr>
      </w:pPr>
      <w:r>
        <w:rPr>
          <w:rFonts w:eastAsia="Arial Unicode MS" w:cs="Calibri"/>
          <w:sz w:val="24"/>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pPr>
        <w:pStyle w:val="Normal"/>
        <w:spacing w:lineRule="auto" w:line="276" w:before="0" w:after="0"/>
        <w:rPr/>
      </w:pPr>
      <w:r>
        <w:rPr>
          <w:rFonts w:eastAsia="Arial Unicode MS" w:cs="Calibri"/>
          <w:b/>
          <w:bCs/>
          <w:sz w:val="24"/>
          <w:lang w:val="el-GR"/>
        </w:rPr>
        <w:t xml:space="preserve">2.2.3.1. </w:t>
      </w:r>
      <w:r>
        <w:rPr>
          <w:rFonts w:eastAsia="Arial Unicode MS" w:cs="Calibri"/>
          <w:sz w:val="24"/>
          <w:lang w:val="el-GR"/>
        </w:rPr>
        <w:t xml:space="preserve">Όταν υπάρχει σε βάρος του αμετάκλητη καταδικαστική απόφαση για έναν από τους ακόλουθους λόγους: </w:t>
      </w:r>
    </w:p>
    <w:p>
      <w:pPr>
        <w:pStyle w:val="Normal"/>
        <w:spacing w:lineRule="auto" w:line="276" w:before="0" w:after="0"/>
        <w:rPr/>
      </w:pPr>
      <w:r>
        <w:rPr>
          <w:rFonts w:eastAsia="Arial Unicode MS"/>
          <w:b/>
          <w:sz w:val="24"/>
          <w:lang w:val="el-GR"/>
        </w:rPr>
        <w:t>α) συμμετοχή σε εγκληματική οργάνωση</w:t>
      </w:r>
      <w:r>
        <w:rPr>
          <w:rFonts w:eastAsia="Arial Unicode MS"/>
          <w:sz w:val="24"/>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Pr>
          <w:rFonts w:eastAsia="Arial Unicode MS"/>
          <w:sz w:val="24"/>
        </w:rPr>
        <w:t>L</w:t>
      </w:r>
      <w:r>
        <w:rPr>
          <w:rFonts w:eastAsia="Arial Unicode MS"/>
          <w:sz w:val="24"/>
          <w:lang w:val="el-GR"/>
        </w:rPr>
        <w:t xml:space="preserve"> 300 της 11.11.2008 σ.42), και τα εγκλήματα του άρθρου 187 του Ποινικού Κώδικα (εγκληματική οργάνωση),</w:t>
      </w:r>
    </w:p>
    <w:p>
      <w:pPr>
        <w:pStyle w:val="Normal"/>
        <w:spacing w:lineRule="auto" w:line="276" w:before="0" w:after="0"/>
        <w:rPr/>
      </w:pPr>
      <w:r>
        <w:rPr>
          <w:rFonts w:eastAsia="Arial Unicode MS"/>
          <w:b/>
          <w:sz w:val="24"/>
          <w:lang w:val="el-GR"/>
        </w:rPr>
        <w:t>β) ενεργητική δωροδοκία</w:t>
      </w:r>
      <w:r>
        <w:rPr>
          <w:rFonts w:eastAsia="Arial Unicode MS"/>
          <w:sz w:val="24"/>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Pr>
          <w:rFonts w:eastAsia="Arial Unicode MS"/>
          <w:sz w:val="24"/>
        </w:rPr>
        <w:t>C</w:t>
      </w:r>
      <w:r>
        <w:rPr>
          <w:rFonts w:eastAsia="Arial Unicode MS"/>
          <w:sz w:val="24"/>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Pr>
          <w:rFonts w:eastAsia="Arial Unicode MS"/>
          <w:sz w:val="24"/>
        </w:rPr>
        <w:t>L</w:t>
      </w:r>
      <w:r>
        <w:rPr>
          <w:rFonts w:eastAsia="Arial Unicode MS"/>
          <w:sz w:val="24"/>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pPr>
        <w:pStyle w:val="Normal"/>
        <w:spacing w:lineRule="auto" w:line="276" w:before="0" w:after="0"/>
        <w:rPr/>
      </w:pPr>
      <w:r>
        <w:rPr>
          <w:rFonts w:eastAsia="Arial Unicode MS"/>
          <w:b/>
          <w:sz w:val="24"/>
          <w:lang w:val="el-GR"/>
        </w:rPr>
        <w:t>γ) απάτη</w:t>
      </w:r>
      <w:r>
        <w:rPr>
          <w:rFonts w:eastAsia="Arial Unicode MS"/>
          <w:sz w:val="24"/>
          <w:lang w:val="el-GR"/>
        </w:rPr>
        <w:t>,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Pr>
          <w:rFonts w:eastAsia="Arial Unicode MS"/>
          <w:sz w:val="24"/>
          <w:vertAlign w:val="superscript"/>
          <w:lang w:val="el-GR"/>
        </w:rPr>
        <w:t>ης</w:t>
      </w:r>
      <w:r>
        <w:rPr>
          <w:rFonts w:eastAsia="Arial Unicode MS"/>
          <w:sz w:val="24"/>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rFonts w:eastAsia="Arial Unicode MS"/>
          <w:sz w:val="24"/>
          <w:lang w:val="en-US"/>
        </w:rPr>
        <w:t>L</w:t>
      </w:r>
      <w:r>
        <w:rPr>
          <w:rFonts w:eastAsia="Arial Unicode MS"/>
          <w:sz w:val="24"/>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pPr>
        <w:pStyle w:val="Normal"/>
        <w:spacing w:lineRule="auto" w:line="276" w:before="0" w:after="0"/>
        <w:rPr/>
      </w:pPr>
      <w:r>
        <w:rPr>
          <w:rFonts w:eastAsia="Arial Unicode MS"/>
          <w:b/>
          <w:sz w:val="24"/>
          <w:lang w:val="el-GR"/>
        </w:rPr>
        <w:t>δ) τρομοκρατικά εγκλήματα</w:t>
      </w:r>
      <w:r>
        <w:rPr>
          <w:rFonts w:eastAsia="Arial Unicode MS"/>
          <w:sz w:val="24"/>
          <w:lang w:val="el-GR"/>
        </w:rPr>
        <w:t xml:space="preserve">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Pr>
          <w:rFonts w:eastAsia="Arial Unicode MS"/>
          <w:sz w:val="24"/>
          <w:vertAlign w:val="superscript"/>
          <w:lang w:val="el-GR"/>
        </w:rPr>
        <w:t>ης</w:t>
      </w:r>
      <w:r>
        <w:rPr>
          <w:rFonts w:eastAsia="Arial Unicode MS"/>
          <w:sz w:val="24"/>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Pr>
          <w:rFonts w:eastAsia="Arial Unicode MS"/>
          <w:sz w:val="24"/>
        </w:rPr>
        <w:t>L</w:t>
      </w:r>
      <w:r>
        <w:rPr>
          <w:rFonts w:eastAsia="Arial Unicode MS"/>
          <w:sz w:val="24"/>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pPr>
        <w:pStyle w:val="Normal"/>
        <w:spacing w:lineRule="auto" w:line="276" w:before="0" w:after="0"/>
        <w:rPr/>
      </w:pPr>
      <w:r>
        <w:rPr>
          <w:rFonts w:eastAsia="Arial Unicode MS"/>
          <w:b/>
          <w:sz w:val="24"/>
          <w:lang w:val="el-GR"/>
        </w:rPr>
        <w:t>ε) νομιμοποίηση εσόδων από παράνομες δραστηριότητες</w:t>
      </w:r>
      <w:r>
        <w:rPr>
          <w:rFonts w:eastAsia="Arial Unicode MS"/>
          <w:sz w:val="24"/>
          <w:lang w:val="el-GR"/>
        </w:rPr>
        <w:t xml:space="preserve">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rFonts w:eastAsia="Arial Unicode MS"/>
          <w:sz w:val="24"/>
          <w:lang w:val="en-US"/>
        </w:rPr>
        <w:t>L</w:t>
      </w:r>
      <w:r>
        <w:rPr>
          <w:rFonts w:eastAsia="Arial Unicode MS"/>
          <w:sz w:val="24"/>
          <w:lang w:val="el-GR"/>
        </w:rPr>
        <w:t xml:space="preserve"> 141/05.06.2015) και τα εγκλήματα των άρθρων 2 και 39 του ν. 4557/2018 (Α’ 139),</w:t>
      </w:r>
    </w:p>
    <w:p>
      <w:pPr>
        <w:pStyle w:val="Normal"/>
        <w:spacing w:lineRule="auto" w:line="276" w:before="0" w:after="0"/>
        <w:rPr/>
      </w:pPr>
      <w:r>
        <w:rPr>
          <w:rFonts w:eastAsia="Arial Unicode MS"/>
          <w:b/>
          <w:sz w:val="24"/>
          <w:lang w:val="el-GR"/>
        </w:rPr>
        <w:t>στ) παιδική εργασία και άλλες μορφές εμπορίας ανθρώπων</w:t>
      </w:r>
      <w:r>
        <w:rPr>
          <w:rFonts w:eastAsia="Arial Unicode MS"/>
          <w:sz w:val="24"/>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rFonts w:eastAsia="Arial Unicode MS"/>
          <w:sz w:val="24"/>
        </w:rPr>
        <w:t>L</w:t>
      </w:r>
      <w:r>
        <w:rPr>
          <w:rFonts w:eastAsia="Arial Unicode MS"/>
          <w:sz w:val="24"/>
          <w:lang w:val="el-GR"/>
        </w:rPr>
        <w:t xml:space="preserve"> 101 της 15.4.2011, σ. 1), και τα εγκλήματα του άρθρου 323Α του Ποινικού Κώδικα (εμπορία ανθρώπων).</w:t>
      </w:r>
    </w:p>
    <w:p>
      <w:pPr>
        <w:pStyle w:val="Normal"/>
        <w:spacing w:lineRule="auto" w:line="276" w:before="0" w:after="0"/>
        <w:rPr>
          <w:rFonts w:eastAsia="Arial Unicode MS"/>
          <w:b/>
          <w:b/>
          <w:sz w:val="24"/>
          <w:lang w:val="el-GR"/>
        </w:rPr>
      </w:pPr>
      <w:r>
        <w:rPr>
          <w:rFonts w:eastAsia="Arial Unicode MS"/>
          <w:b/>
          <w:sz w:val="24"/>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pPr>
        <w:pStyle w:val="Normal"/>
        <w:spacing w:lineRule="auto" w:line="276" w:before="0" w:after="0"/>
        <w:rPr>
          <w:rFonts w:eastAsia="Arial Unicode MS"/>
          <w:sz w:val="24"/>
          <w:lang w:val="el-GR"/>
        </w:rPr>
      </w:pPr>
      <w:r>
        <w:rPr>
          <w:rFonts w:eastAsia="Arial Unicode MS"/>
          <w:sz w:val="24"/>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pPr>
        <w:pStyle w:val="Normal"/>
        <w:spacing w:lineRule="auto" w:line="276" w:before="0" w:after="0"/>
        <w:rPr>
          <w:rFonts w:eastAsia="Arial Unicode MS"/>
          <w:sz w:val="24"/>
          <w:lang w:val="el-GR"/>
        </w:rPr>
      </w:pPr>
      <w:r>
        <w:rPr>
          <w:rFonts w:eastAsia="Arial Unicode MS"/>
          <w:sz w:val="24"/>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pPr>
        <w:pStyle w:val="Normal"/>
        <w:spacing w:lineRule="auto" w:line="276" w:before="0" w:after="0"/>
        <w:rPr>
          <w:rFonts w:eastAsia="Arial Unicode MS"/>
          <w:sz w:val="24"/>
          <w:lang w:val="el-GR"/>
        </w:rPr>
      </w:pPr>
      <w:r>
        <w:rPr>
          <w:rFonts w:eastAsia="Arial Unicode MS"/>
          <w:sz w:val="24"/>
          <w:lang w:val="el-GR"/>
        </w:rPr>
        <w:t>- στις περιπτώσεις Συνεταιρισμών, τα μέλη του Διοικητικού Συμβουλίου.</w:t>
      </w:r>
    </w:p>
    <w:p>
      <w:pPr>
        <w:pStyle w:val="Normal"/>
        <w:spacing w:lineRule="auto" w:line="276" w:before="0" w:after="0"/>
        <w:rPr>
          <w:rFonts w:eastAsia="Arial Unicode MS"/>
          <w:sz w:val="24"/>
          <w:lang w:val="el-GR"/>
        </w:rPr>
      </w:pPr>
      <w:r>
        <w:rPr>
          <w:rFonts w:eastAsia="Arial Unicode MS"/>
          <w:sz w:val="24"/>
          <w:lang w:val="el-GR"/>
        </w:rPr>
        <w:t>- σε όλες τις υπόλοιπες περιπτώσεις νομικών προσώπων, τον κατά περίπτωση νόμιμο εκπρόσωπο.</w:t>
      </w:r>
    </w:p>
    <w:p>
      <w:pPr>
        <w:pStyle w:val="Normal"/>
        <w:spacing w:lineRule="auto" w:line="276" w:before="0" w:after="0"/>
        <w:rPr>
          <w:rFonts w:eastAsia="Arial Unicode MS" w:cs="Calibri"/>
          <w:b/>
          <w:b/>
          <w:sz w:val="24"/>
          <w:lang w:val="el-GR"/>
        </w:rPr>
      </w:pPr>
      <w:r>
        <w:rPr>
          <w:rFonts w:eastAsia="Arial Unicode MS" w:cs="Calibri"/>
          <w:b/>
          <w:sz w:val="24"/>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pPr>
        <w:pStyle w:val="Normal"/>
        <w:spacing w:lineRule="auto" w:line="276" w:before="0" w:after="0"/>
        <w:rPr>
          <w:rFonts w:eastAsia="Arial Unicode MS" w:cs="Calibri"/>
          <w:b/>
          <w:b/>
          <w:sz w:val="24"/>
          <w:lang w:val="el-GR"/>
        </w:rPr>
      </w:pPr>
      <w:r>
        <w:rPr>
          <w:rFonts w:eastAsia="Arial Unicode MS" w:cs="Calibri"/>
          <w:b/>
          <w:sz w:val="24"/>
          <w:lang w:val="el-GR"/>
        </w:rPr>
      </w:r>
    </w:p>
    <w:p>
      <w:pPr>
        <w:pStyle w:val="Normal"/>
        <w:spacing w:lineRule="auto" w:line="276" w:before="0" w:after="0"/>
        <w:rPr>
          <w:rFonts w:eastAsia="Arial Unicode MS" w:cs="Calibri"/>
          <w:b/>
          <w:b/>
          <w:sz w:val="24"/>
          <w:lang w:val="el-GR"/>
        </w:rPr>
      </w:pPr>
      <w:r>
        <w:rPr>
          <w:rFonts w:eastAsia="Arial Unicode MS" w:cs="Calibri"/>
          <w:b/>
          <w:sz w:val="24"/>
          <w:lang w:val="el-GR"/>
        </w:rPr>
        <w:t>2.2.3.2. Στις ακόλουθες περιπτώσεις:</w:t>
      </w:r>
    </w:p>
    <w:p>
      <w:pPr>
        <w:pStyle w:val="Normal"/>
        <w:spacing w:lineRule="auto" w:line="276" w:before="0" w:after="0"/>
        <w:rPr>
          <w:rFonts w:eastAsia="Arial Unicode MS" w:cs="Calibri"/>
          <w:b/>
          <w:b/>
          <w:bCs/>
          <w:color w:val="000000"/>
          <w:sz w:val="24"/>
          <w:lang w:val="el-GR"/>
        </w:rPr>
      </w:pPr>
      <w:r>
        <w:rPr>
          <w:rFonts w:eastAsia="Arial Unicode MS" w:cs="Calibri"/>
          <w:b/>
          <w:bCs/>
          <w:color w:val="000000"/>
          <w:sz w:val="24"/>
          <w:lang w:val="el-GR"/>
        </w:rPr>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pPr>
        <w:pStyle w:val="Normal"/>
        <w:spacing w:lineRule="auto" w:line="276" w:before="0" w:after="0"/>
        <w:rPr/>
      </w:pPr>
      <w:r>
        <w:rPr>
          <w:rFonts w:eastAsia="Arial Unicode MS"/>
          <w:b/>
          <w:sz w:val="24"/>
          <w:lang w:val="el-GR"/>
        </w:rPr>
        <w:t>β)</w:t>
      </w:r>
      <w:r>
        <w:rPr>
          <w:rFonts w:eastAsia="Arial Unicode MS"/>
          <w:sz w:val="24"/>
          <w:lang w:val="el-GR"/>
        </w:rPr>
        <w:t xml:space="preserve"> όταν η αναθέτουσα αρχή μπορεί να αποδείξει με τα κατάλληλα μέσα ότι ο οικονομικός φορέας έχει αθετήσει τις υποχρεώσεις του όσον αφορά την </w:t>
      </w:r>
      <w:r>
        <w:rPr>
          <w:rFonts w:eastAsia="Arial Unicode MS"/>
          <w:b/>
          <w:sz w:val="24"/>
          <w:lang w:val="el-GR"/>
        </w:rPr>
        <w:t>καταβολή φόρων ή εισφορών κοινωνικής ασφάλισης</w:t>
      </w:r>
      <w:r>
        <w:rPr>
          <w:rFonts w:eastAsia="Arial Unicode MS"/>
          <w:sz w:val="24"/>
          <w:lang w:val="el-GR"/>
        </w:rPr>
        <w:t xml:space="preserve">. </w:t>
      </w:r>
    </w:p>
    <w:p>
      <w:pPr>
        <w:pStyle w:val="Normal"/>
        <w:spacing w:lineRule="auto" w:line="276" w:before="0" w:after="0"/>
        <w:rPr>
          <w:rFonts w:eastAsia="Arial Unicode MS"/>
          <w:sz w:val="24"/>
          <w:lang w:val="el-GR"/>
        </w:rPr>
      </w:pPr>
      <w:r>
        <w:rPr>
          <w:rFonts w:eastAsia="Arial Unicode MS"/>
          <w:sz w:val="24"/>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pPr>
        <w:pStyle w:val="Normal"/>
        <w:spacing w:lineRule="auto" w:line="276" w:before="0" w:after="0"/>
        <w:rPr>
          <w:rFonts w:eastAsia="Arial Unicode MS"/>
          <w:sz w:val="24"/>
          <w:lang w:val="el-GR"/>
        </w:rPr>
      </w:pPr>
      <w:r>
        <w:rPr>
          <w:rFonts w:eastAsia="Arial Unicode MS"/>
          <w:sz w:val="24"/>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pPr>
        <w:pStyle w:val="Normal"/>
        <w:spacing w:lineRule="auto" w:line="276" w:before="120" w:after="0"/>
        <w:rPr>
          <w:rFonts w:eastAsia="Arial Unicode MS"/>
          <w:sz w:val="24"/>
          <w:lang w:val="el-GR"/>
        </w:rPr>
      </w:pPr>
      <w:r>
        <w:rPr>
          <w:rFonts w:eastAsia="Arial Unicode MS"/>
          <w:sz w:val="24"/>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pPr>
        <w:pStyle w:val="Normal"/>
        <w:spacing w:lineRule="auto" w:line="276" w:before="120" w:after="0"/>
        <w:rPr/>
      </w:pPr>
      <w:r>
        <w:rPr>
          <w:rFonts w:eastAsia="Arial Unicode MS"/>
          <w:b/>
          <w:bCs/>
          <w:sz w:val="24"/>
          <w:lang w:val="el-GR"/>
        </w:rPr>
        <w:t xml:space="preserve">2.2.3.3. </w:t>
      </w:r>
      <w:r>
        <w:rPr>
          <w:rFonts w:eastAsia="Arial Unicode MS"/>
          <w:sz w:val="24"/>
          <w:lang w:val="el-GR"/>
        </w:rPr>
        <w:t xml:space="preserve"> Κατ' εξαίρεση, επίσης, </w:t>
      </w:r>
      <w:r>
        <w:rPr>
          <w:rFonts w:eastAsia="Arial Unicode MS"/>
          <w:b/>
          <w:sz w:val="24"/>
          <w:lang w:val="el-GR"/>
        </w:rPr>
        <w:t>ο οικονομικός φορέας δεν αποκλείεται</w:t>
      </w:r>
      <w:r>
        <w:rPr>
          <w:rFonts w:eastAsia="Arial Unicode MS"/>
          <w:sz w:val="24"/>
          <w:lang w:val="el-GR"/>
        </w:rPr>
        <w:t xml:space="preserve">, όταν ο αποκλεισμός, σύμφωνα με την παράγραφο 2.2.3.2, θα ήταν σαφώς </w:t>
      </w:r>
      <w:r>
        <w:rPr>
          <w:rFonts w:eastAsia="Arial Unicode MS"/>
          <w:b/>
          <w:sz w:val="24"/>
          <w:lang w:val="el-GR"/>
        </w:rPr>
        <w:t>δυσανάλογος</w:t>
      </w:r>
      <w:r>
        <w:rPr>
          <w:rFonts w:eastAsia="Arial Unicode MS"/>
          <w:sz w:val="24"/>
          <w:lang w:val="el-GR"/>
        </w:rPr>
        <w:t xml:space="preserve">,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pPr>
        <w:pStyle w:val="Normal"/>
        <w:spacing w:lineRule="auto" w:line="276" w:before="120" w:after="0"/>
        <w:rPr/>
      </w:pPr>
      <w:r>
        <w:rPr>
          <w:rFonts w:eastAsia="Arial Unicode MS"/>
          <w:b/>
          <w:bCs/>
          <w:sz w:val="24"/>
          <w:lang w:val="el-GR"/>
        </w:rPr>
        <w:t>2.2.3.4.</w:t>
      </w:r>
      <w:r>
        <w:rPr>
          <w:rFonts w:eastAsia="Arial Unicode MS"/>
          <w:sz w:val="24"/>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pPr>
        <w:pStyle w:val="Normal"/>
        <w:spacing w:lineRule="auto" w:line="276" w:before="0" w:after="0"/>
        <w:rPr/>
      </w:pPr>
      <w:r>
        <w:rPr>
          <w:rFonts w:eastAsia="Arial Unicode MS"/>
          <w:b/>
          <w:sz w:val="24"/>
          <w:lang w:val="el-GR"/>
        </w:rPr>
        <w:t>(α)  εάν έχει αθετήσει τις υποχρεώσεις</w:t>
      </w:r>
      <w:r>
        <w:rPr>
          <w:rFonts w:eastAsia="Arial Unicode MS"/>
          <w:sz w:val="24"/>
          <w:lang w:val="el-GR"/>
        </w:rPr>
        <w:t xml:space="preserve"> που προβλέπονται στην παρ. 2 του άρθρου 18 του ν. 4412/2016</w:t>
      </w:r>
      <w:r>
        <w:rPr>
          <w:rStyle w:val="Style14"/>
          <w:rStyle w:val="Style14"/>
          <w:rFonts w:eastAsia="Arial Unicode MS" w:cs="Calibri"/>
          <w:sz w:val="24"/>
          <w:lang w:val="el-GR"/>
        </w:rPr>
        <w:footnoteReference w:id="18"/>
      </w:r>
      <w:r>
        <w:rPr>
          <w:rFonts w:eastAsia="Arial Unicode MS"/>
          <w:sz w:val="24"/>
          <w:lang w:val="el-GR"/>
        </w:rPr>
        <w:t xml:space="preserve">, περί αρχών που εφαρμόζονται στις διαδικασίες σύναψης δημοσίων συμβάσεων, </w:t>
      </w:r>
      <w:r>
        <w:rPr>
          <w:b/>
          <w:sz w:val="24"/>
          <w:lang w:val="el-GR"/>
        </w:rPr>
        <w:t>ιδίως εάν σε βάρος του έχουν επιβληθεί, μέσα σε χρονικό διάστημα δύο (2) ετών πριν από τη λήξη της προθεσμίας</w:t>
      </w:r>
      <w:r>
        <w:rPr>
          <w:sz w:val="24"/>
          <w:lang w:val="el-GR"/>
        </w:rPr>
        <w:t xml:space="preserve">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r>
        <w:rPr>
          <w:b/>
          <w:sz w:val="24"/>
          <w:lang w:val="el-GR"/>
        </w:rPr>
        <w:t xml:space="preserve">, καθώς και </w:t>
      </w:r>
    </w:p>
    <w:p>
      <w:pPr>
        <w:pStyle w:val="Normal"/>
        <w:numPr>
          <w:ilvl w:val="0"/>
          <w:numId w:val="8"/>
        </w:numPr>
        <w:tabs>
          <w:tab w:val="clear" w:pos="720"/>
          <w:tab w:val="left" w:pos="851" w:leader="none"/>
        </w:tabs>
        <w:spacing w:before="0" w:after="0"/>
        <w:ind w:left="142" w:right="0" w:hanging="0"/>
        <w:jc w:val="both"/>
        <w:rPr/>
      </w:pPr>
      <w:r>
        <w:rPr>
          <w:rFonts w:cs="Calibri"/>
          <w:b/>
          <w:sz w:val="24"/>
          <w:szCs w:val="24"/>
        </w:rPr>
        <w:t>αα)</w:t>
      </w:r>
      <w:r>
        <w:rPr>
          <w:rFonts w:cs="Calibri"/>
          <w:sz w:val="24"/>
          <w:szCs w:val="24"/>
        </w:rPr>
        <w:t xml:space="preserve"> εάν έχει κηρυχθεί έκπτωτος, κατ` εφαρμογή της παραγράφου 7 του άρθρου 68 του ν. 3863/2010 μέσα σε χρονικό διάστημα τριών (3) ετών πριν από την ημερομηνία λήξης της προθεσμίας υποβολής της προσφοράς ή </w:t>
      </w:r>
    </w:p>
    <w:p>
      <w:pPr>
        <w:pStyle w:val="Normal"/>
        <w:numPr>
          <w:ilvl w:val="0"/>
          <w:numId w:val="8"/>
        </w:numPr>
        <w:tabs>
          <w:tab w:val="clear" w:pos="720"/>
          <w:tab w:val="left" w:pos="851" w:leader="none"/>
        </w:tabs>
        <w:spacing w:before="0" w:after="0"/>
        <w:ind w:left="142" w:right="0" w:hanging="0"/>
        <w:jc w:val="both"/>
        <w:rPr/>
      </w:pPr>
      <w:r>
        <w:rPr>
          <w:rFonts w:cs="Calibri"/>
          <w:b/>
          <w:sz w:val="24"/>
          <w:szCs w:val="24"/>
        </w:rPr>
        <w:t>ββ)</w:t>
      </w:r>
      <w:r>
        <w:rPr>
          <w:rFonts w:cs="Calibri"/>
          <w:sz w:val="24"/>
          <w:szCs w:val="24"/>
        </w:rPr>
        <w:t xml:space="preserve"> εάν σε βάρος του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r>
        <w:rPr>
          <w:rStyle w:val="Style14"/>
          <w:rStyle w:val="Style14"/>
          <w:rFonts w:cs="Calibri"/>
          <w:sz w:val="24"/>
          <w:szCs w:val="24"/>
        </w:rPr>
        <w:footnoteReference w:id="19"/>
      </w:r>
    </w:p>
    <w:p>
      <w:pPr>
        <w:pStyle w:val="Normal"/>
        <w:tabs>
          <w:tab w:val="clear" w:pos="720"/>
          <w:tab w:val="left" w:pos="851" w:leader="none"/>
        </w:tabs>
        <w:spacing w:lineRule="auto" w:line="276" w:before="0" w:after="0"/>
        <w:rPr>
          <w:sz w:val="24"/>
          <w:lang w:val="el-GR"/>
        </w:rPr>
      </w:pPr>
      <w:r>
        <w:rPr>
          <w:sz w:val="24"/>
          <w:lang w:val="el-GR"/>
        </w:rPr>
      </w:r>
    </w:p>
    <w:p>
      <w:pPr>
        <w:pStyle w:val="Normal"/>
        <w:tabs>
          <w:tab w:val="clear" w:pos="720"/>
          <w:tab w:val="left" w:pos="851" w:leader="none"/>
        </w:tabs>
        <w:spacing w:lineRule="auto" w:line="276" w:before="0" w:after="0"/>
        <w:rPr>
          <w:b/>
          <w:b/>
          <w:sz w:val="24"/>
          <w:u w:val="single"/>
          <w:lang w:val="el-GR"/>
        </w:rPr>
      </w:pPr>
      <w:r>
        <w:rPr>
          <w:b/>
          <w:sz w:val="24"/>
          <w:u w:val="single"/>
          <w:lang w:val="el-GR"/>
        </w:rPr>
        <w:t>Περαιτέρω, σύμφωνα με το άρθρο 68 του Ν. 3863/10:</w:t>
      </w:r>
    </w:p>
    <w:p>
      <w:pPr>
        <w:pStyle w:val="Normal"/>
        <w:tabs>
          <w:tab w:val="clear" w:pos="720"/>
          <w:tab w:val="left" w:pos="851" w:leader="none"/>
        </w:tabs>
        <w:spacing w:lineRule="auto" w:line="276" w:before="0" w:after="0"/>
        <w:rPr>
          <w:sz w:val="24"/>
          <w:lang w:val="el-GR"/>
        </w:rPr>
      </w:pPr>
      <w:r>
        <w:rPr>
          <w:sz w:val="24"/>
          <w:lang w:val="el-GR"/>
        </w:rPr>
        <w:t>Η αναθέτουσα αρχή υποχρεούται, αμέσως μετά τη λήξη της προθεσμίας υποβολής των προσφορών,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υποψηφίων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σύμβασης.(παρ.2β του άρθρου 68 του  Ν.3863/10).</w:t>
      </w:r>
    </w:p>
    <w:p>
      <w:pPr>
        <w:pStyle w:val="Normal"/>
        <w:tabs>
          <w:tab w:val="clear" w:pos="720"/>
          <w:tab w:val="left" w:pos="851" w:leader="none"/>
        </w:tabs>
        <w:spacing w:lineRule="auto" w:line="276" w:before="0" w:after="0"/>
        <w:rPr>
          <w:sz w:val="24"/>
          <w:lang w:val="el-GR"/>
        </w:rPr>
      </w:pPr>
      <w:r>
        <w:rPr>
          <w:sz w:val="24"/>
          <w:lang w:val="el-GR"/>
        </w:rPr>
      </w:r>
    </w:p>
    <w:p>
      <w:pPr>
        <w:pStyle w:val="Normal"/>
        <w:spacing w:lineRule="auto" w:line="276" w:before="0" w:after="0"/>
        <w:rPr/>
      </w:pPr>
      <w:r>
        <w:rPr>
          <w:rFonts w:eastAsia="Arial Unicode MS"/>
          <w:b/>
          <w:sz w:val="24"/>
          <w:lang w:val="el-GR"/>
        </w:rPr>
        <w:t>(β)</w:t>
      </w:r>
      <w:r>
        <w:rPr>
          <w:rFonts w:eastAsia="Arial Unicode MS"/>
          <w:sz w:val="24"/>
          <w:lang w:val="el-GR"/>
        </w:rPr>
        <w:t xml:space="preserve"> </w:t>
      </w:r>
      <w:r>
        <w:rPr>
          <w:rFonts w:eastAsia="Arial Unicode MS"/>
          <w:b/>
          <w:sz w:val="24"/>
          <w:lang w:val="el-GR"/>
        </w:rPr>
        <w:t>εάν τελεί υπό πτώχευση ή έχει υπαχθεί σε διαδικασία εξυγίανσης ή ειδικής εκκαθάρισης</w:t>
      </w:r>
      <w:r>
        <w:rPr>
          <w:rFonts w:eastAsia="Arial Unicode MS"/>
          <w:sz w:val="24"/>
          <w:lang w:val="el-GR"/>
        </w:rPr>
        <w:t xml:space="preserve"> ή τελεί υπό </w:t>
      </w:r>
      <w:r>
        <w:rPr>
          <w:rFonts w:eastAsia="Arial Unicode MS"/>
          <w:b/>
          <w:sz w:val="24"/>
          <w:lang w:val="el-GR"/>
        </w:rPr>
        <w:t>αναγκαστική διαχείριση</w:t>
      </w:r>
      <w:r>
        <w:rPr>
          <w:rFonts w:eastAsia="Arial Unicode MS"/>
          <w:sz w:val="24"/>
          <w:lang w:val="el-GR"/>
        </w:rPr>
        <w:t xml:space="preserve"> από εκκαθαριστή ή από το δικαστήριο ή έχει υπαχθεί σε διαδικασία </w:t>
      </w:r>
      <w:r>
        <w:rPr>
          <w:rFonts w:eastAsia="Arial Unicode MS"/>
          <w:b/>
          <w:sz w:val="24"/>
          <w:lang w:val="el-GR"/>
        </w:rPr>
        <w:t>πτωχευτικού συμβιβασμού</w:t>
      </w:r>
      <w:r>
        <w:rPr>
          <w:rFonts w:eastAsia="Arial Unicode MS"/>
          <w:sz w:val="24"/>
          <w:lang w:val="el-GR"/>
        </w:rPr>
        <w:t xml:space="preserve"> ή έχει αναστείλει τις </w:t>
      </w:r>
      <w:r>
        <w:rPr>
          <w:rFonts w:eastAsia="Arial Unicode MS"/>
          <w:b/>
          <w:sz w:val="24"/>
          <w:lang w:val="el-GR"/>
        </w:rPr>
        <w:t>επιχειρηματικές του δραστηριότητες</w:t>
      </w:r>
      <w:r>
        <w:rPr>
          <w:rFonts w:eastAsia="Arial Unicode MS"/>
          <w:sz w:val="24"/>
          <w:lang w:val="el-GR"/>
        </w:rPr>
        <w:t xml:space="preserve">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Style14"/>
          <w:rStyle w:val="Style14"/>
          <w:rFonts w:eastAsia="Arial Unicode MS" w:cs="Calibri"/>
          <w:sz w:val="24"/>
          <w:lang w:val="el-GR"/>
        </w:rPr>
        <w:footnoteReference w:id="20"/>
      </w:r>
      <w:r>
        <w:rPr>
          <w:rFonts w:eastAsia="Arial Unicode MS"/>
          <w:sz w:val="24"/>
          <w:lang w:val="el-GR"/>
        </w:rPr>
        <w:t xml:space="preserve">, </w:t>
      </w:r>
    </w:p>
    <w:p>
      <w:pPr>
        <w:pStyle w:val="Normal"/>
        <w:spacing w:lineRule="auto" w:line="276" w:before="0" w:after="0"/>
        <w:rPr/>
      </w:pPr>
      <w:r>
        <w:rPr>
          <w:rFonts w:eastAsia="Arial Unicode MS"/>
          <w:b/>
          <w:sz w:val="24"/>
          <w:lang w:val="el-GR"/>
        </w:rPr>
        <w:t>(γ)</w:t>
      </w:r>
      <w:r>
        <w:rPr>
          <w:rFonts w:eastAsia="Arial Unicode MS"/>
          <w:sz w:val="24"/>
          <w:lang w:val="el-GR"/>
        </w:rPr>
        <w:t xml:space="preserve">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w:t>
      </w:r>
      <w:r>
        <w:rPr>
          <w:rFonts w:eastAsia="Arial Unicode MS"/>
          <w:b/>
          <w:sz w:val="24"/>
          <w:lang w:val="el-GR"/>
        </w:rPr>
        <w:t>στρέβλωση του ανταγωνισμού</w:t>
      </w:r>
      <w:r>
        <w:rPr>
          <w:rFonts w:eastAsia="Arial Unicode MS"/>
          <w:sz w:val="24"/>
          <w:lang w:val="el-GR"/>
        </w:rPr>
        <w:t xml:space="preserve">, </w:t>
      </w:r>
    </w:p>
    <w:p>
      <w:pPr>
        <w:pStyle w:val="Normal"/>
        <w:spacing w:lineRule="auto" w:line="276" w:before="0" w:after="0"/>
        <w:rPr/>
      </w:pPr>
      <w:r>
        <w:rPr>
          <w:rFonts w:eastAsia="Arial Unicode MS"/>
          <w:b/>
          <w:sz w:val="24"/>
          <w:lang w:val="el-GR"/>
        </w:rPr>
        <w:t>(δ)</w:t>
      </w:r>
      <w:r>
        <w:rPr>
          <w:rFonts w:eastAsia="Arial Unicode MS"/>
          <w:sz w:val="24"/>
          <w:lang w:val="el-GR"/>
        </w:rPr>
        <w:t xml:space="preserve"> εάν μία κατάσταση </w:t>
      </w:r>
      <w:r>
        <w:rPr>
          <w:rFonts w:eastAsia="Arial Unicode MS"/>
          <w:b/>
          <w:sz w:val="24"/>
          <w:lang w:val="el-GR"/>
        </w:rPr>
        <w:t>σύγκρουσης συμφερόντων</w:t>
      </w:r>
      <w:r>
        <w:rPr>
          <w:rFonts w:eastAsia="Arial Unicode MS"/>
          <w:sz w:val="24"/>
          <w:lang w:val="el-GR"/>
        </w:rPr>
        <w:t xml:space="preserve"> κατά την έννοια του άρθρου 24 του ν. 4412/2016 δεν μπορεί να θεραπευθεί αποτελεσματικά με άλλα, λιγότερο παρεμβατικά, μέσα, </w:t>
      </w:r>
    </w:p>
    <w:p>
      <w:pPr>
        <w:pStyle w:val="Normal"/>
        <w:spacing w:lineRule="auto" w:line="276" w:before="0" w:after="0"/>
        <w:rPr/>
      </w:pPr>
      <w:r>
        <w:rPr>
          <w:rFonts w:eastAsia="Arial Unicode MS"/>
          <w:b/>
          <w:sz w:val="24"/>
          <w:lang w:val="el-GR"/>
        </w:rPr>
        <w:t>(ε)</w:t>
      </w:r>
      <w:r>
        <w:rPr>
          <w:rFonts w:eastAsia="Arial Unicode MS"/>
          <w:sz w:val="24"/>
          <w:lang w:val="el-GR"/>
        </w:rPr>
        <w:t xml:space="preserve"> εάν μία </w:t>
      </w:r>
      <w:r>
        <w:rPr>
          <w:rFonts w:eastAsia="Arial Unicode MS"/>
          <w:b/>
          <w:sz w:val="24"/>
          <w:lang w:val="el-GR"/>
        </w:rPr>
        <w:t>κατάσταση στρέβλωσης του ανταγωνισμού</w:t>
      </w:r>
      <w:r>
        <w:rPr>
          <w:rFonts w:eastAsia="Arial Unicode MS"/>
          <w:sz w:val="24"/>
          <w:lang w:val="el-GR"/>
        </w:rPr>
        <w:t xml:space="preserve">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pPr>
        <w:pStyle w:val="Normal"/>
        <w:spacing w:lineRule="auto" w:line="276" w:before="0" w:after="0"/>
        <w:rPr/>
      </w:pPr>
      <w:r>
        <w:rPr>
          <w:rFonts w:eastAsia="Arial Unicode MS"/>
          <w:b/>
          <w:sz w:val="24"/>
          <w:lang w:val="el-GR"/>
        </w:rPr>
        <w:t>(στ)</w:t>
      </w:r>
      <w:r>
        <w:rPr>
          <w:rFonts w:eastAsia="Arial Unicode MS"/>
          <w:sz w:val="24"/>
          <w:lang w:val="el-GR"/>
        </w:rPr>
        <w:t xml:space="preserve"> εάν έχει επιδείξει </w:t>
      </w:r>
      <w:r>
        <w:rPr>
          <w:rFonts w:eastAsia="Arial Unicode MS"/>
          <w:b/>
          <w:sz w:val="24"/>
          <w:lang w:val="el-GR"/>
        </w:rPr>
        <w:t>σοβαρή ή επαναλαμβανόμενη πλημμέλεια κατά την εκτέλεση ουσιώδους απαίτησης</w:t>
      </w:r>
      <w:r>
        <w:rPr>
          <w:rFonts w:eastAsia="Arial Unicode MS"/>
          <w:sz w:val="24"/>
          <w:lang w:val="el-GR"/>
        </w:rPr>
        <w:t xml:space="preserve">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pPr>
        <w:pStyle w:val="Normal"/>
        <w:spacing w:lineRule="auto" w:line="276" w:before="0" w:after="0"/>
        <w:rPr/>
      </w:pPr>
      <w:r>
        <w:rPr>
          <w:rFonts w:eastAsia="Arial Unicode MS"/>
          <w:b/>
          <w:sz w:val="24"/>
          <w:lang w:val="el-GR"/>
        </w:rPr>
        <w:t>(ζ)</w:t>
      </w:r>
      <w:r>
        <w:rPr>
          <w:rFonts w:eastAsia="Arial Unicode MS"/>
          <w:sz w:val="24"/>
          <w:lang w:val="el-GR"/>
        </w:rPr>
        <w:t xml:space="preserve"> εάν έχει κριθεί </w:t>
      </w:r>
      <w:r>
        <w:rPr>
          <w:rFonts w:eastAsia="Arial Unicode MS"/>
          <w:b/>
          <w:sz w:val="24"/>
          <w:lang w:val="el-GR"/>
        </w:rPr>
        <w:t>ένοχος εκ προθέσεως σοβαρών απατηλών δηλώσεων κατά την παροχή των πληροφοριών</w:t>
      </w:r>
      <w:r>
        <w:rPr>
          <w:rFonts w:eastAsia="Arial Unicode MS"/>
          <w:sz w:val="24"/>
          <w:lang w:val="el-GR"/>
        </w:rPr>
        <w:t xml:space="preserve">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pPr>
        <w:pStyle w:val="Normal"/>
        <w:spacing w:lineRule="auto" w:line="276" w:before="0" w:after="0"/>
        <w:rPr/>
      </w:pPr>
      <w:r>
        <w:rPr>
          <w:rFonts w:eastAsia="Arial Unicode MS"/>
          <w:b/>
          <w:sz w:val="24"/>
          <w:lang w:val="el-GR"/>
        </w:rPr>
        <w:t>(η) εάν επιχείρησε να επηρεάσει με αθέμιτο τρόπο τη διαδικασία λήψης αποφάσεων της αναθέτουσας αρχής</w:t>
      </w:r>
      <w:r>
        <w:rPr>
          <w:rFonts w:eastAsia="Arial Unicode MS"/>
          <w:sz w:val="24"/>
          <w:lang w:val="el-GR"/>
        </w:rPr>
        <w:t xml:space="preserve">,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pPr>
        <w:pStyle w:val="Normal"/>
        <w:spacing w:lineRule="auto" w:line="276" w:before="0" w:after="0"/>
        <w:rPr/>
      </w:pPr>
      <w:r>
        <w:rPr>
          <w:rFonts w:eastAsia="Arial Unicode MS"/>
          <w:b/>
          <w:sz w:val="24"/>
          <w:lang w:val="el-GR"/>
        </w:rPr>
        <w:t>(θ)</w:t>
      </w:r>
      <w:r>
        <w:rPr>
          <w:rFonts w:eastAsia="Arial Unicode MS"/>
          <w:sz w:val="24"/>
          <w:lang w:val="el-GR"/>
        </w:rPr>
        <w:t xml:space="preserve"> εάν η αναθέτουσα αρχή μπορεί να αποδείξει, με κατάλληλα μέσα ότι έχει διαπράξει </w:t>
      </w:r>
      <w:r>
        <w:rPr>
          <w:rFonts w:eastAsia="Arial Unicode MS"/>
          <w:b/>
          <w:sz w:val="24"/>
          <w:lang w:val="el-GR"/>
        </w:rPr>
        <w:t>σοβαρό επαγγελματικό παράπτωμα</w:t>
      </w:r>
      <w:r>
        <w:rPr>
          <w:rFonts w:eastAsia="Arial Unicode MS"/>
          <w:sz w:val="24"/>
          <w:lang w:val="el-GR"/>
        </w:rPr>
        <w:t xml:space="preserve">, το οποίο θέτει εν αμφιβόλω την ακεραιότητά του. </w:t>
      </w:r>
    </w:p>
    <w:p>
      <w:pPr>
        <w:pStyle w:val="Normal"/>
        <w:spacing w:lineRule="auto" w:line="276" w:before="0" w:after="0"/>
        <w:rPr/>
      </w:pPr>
      <w:r>
        <w:rPr>
          <w:rFonts w:eastAsia="Arial Unicode MS"/>
          <w:b/>
          <w:sz w:val="24"/>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Pr>
          <w:rStyle w:val="Style14"/>
          <w:rStyle w:val="Style14"/>
          <w:rFonts w:eastAsia="Arial Unicode MS" w:cs="Calibri"/>
          <w:b/>
          <w:sz w:val="24"/>
          <w:lang w:val="el-GR"/>
        </w:rPr>
        <w:footnoteReference w:id="21"/>
      </w:r>
      <w:r>
        <w:rPr>
          <w:rFonts w:eastAsia="Arial Unicode MS"/>
          <w:b/>
          <w:sz w:val="24"/>
          <w:lang w:val="el-GR"/>
        </w:rPr>
        <w:t>.</w:t>
      </w:r>
    </w:p>
    <w:p>
      <w:pPr>
        <w:pStyle w:val="Normal"/>
        <w:spacing w:lineRule="auto" w:line="276" w:before="0" w:after="0"/>
        <w:rPr/>
      </w:pPr>
      <w:r>
        <w:rPr>
          <w:rFonts w:eastAsia="Arial Unicode MS"/>
          <w:b/>
          <w:sz w:val="24"/>
          <w:u w:val="single"/>
          <w:lang w:val="el-GR"/>
        </w:rPr>
        <w:t>Ειδικά κατά τη διαδικασία σύναψης της παρούσας σύμβασης ως σοβαρό επαγγελματικό παράπτωμα νοούνται, ιδίως οι λόγοι που αναφέρονται στην περίπτωση γ της παρ.2 του άρθρου 68 του Ν.3863/2010, όπως αντικαταστάθηκε με το άρθρο 39 παρ.Β του ν.4488/2017 και ισχύει</w:t>
      </w:r>
      <w:r>
        <w:rPr>
          <w:rFonts w:eastAsia="Arial Unicode MS"/>
          <w:b/>
          <w:sz w:val="24"/>
          <w:lang w:val="el-GR"/>
        </w:rPr>
        <w:t>.</w:t>
      </w:r>
    </w:p>
    <w:p>
      <w:pPr>
        <w:pStyle w:val="Normal"/>
        <w:spacing w:lineRule="auto" w:line="276" w:before="0" w:after="0"/>
        <w:rPr>
          <w:rFonts w:eastAsia="Arial Unicode MS"/>
          <w:b/>
          <w:b/>
          <w:sz w:val="24"/>
          <w:lang w:val="el-GR"/>
        </w:rPr>
      </w:pPr>
      <w:r>
        <w:rPr>
          <w:rFonts w:eastAsia="Arial Unicode MS"/>
          <w:b/>
          <w:sz w:val="24"/>
          <w:lang w:val="el-GR"/>
        </w:rPr>
      </w:r>
    </w:p>
    <w:p>
      <w:pPr>
        <w:pStyle w:val="Normal"/>
        <w:suppressAutoHyphens w:val="false"/>
        <w:spacing w:lineRule="auto" w:line="276" w:before="0" w:after="0"/>
        <w:rPr/>
      </w:pPr>
      <w:r>
        <w:rPr>
          <w:rFonts w:eastAsia="Arial Unicode MS"/>
          <w:b/>
          <w:bCs/>
          <w:color w:val="000000"/>
          <w:sz w:val="24"/>
          <w:lang w:val="el-GR"/>
        </w:rPr>
        <w:t xml:space="preserve">2.2.3.5. </w:t>
      </w:r>
      <w:r>
        <w:rPr>
          <w:rFonts w:eastAsia="Arial Unicode MS"/>
          <w:bCs/>
          <w:color w:val="000000"/>
          <w:sz w:val="24"/>
          <w:lang w:val="el-GR"/>
        </w:rPr>
        <w:t xml:space="preserve">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 Οι υποχρεώσεις της παρούσης αφορούν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 </w:t>
      </w:r>
    </w:p>
    <w:p>
      <w:pPr>
        <w:pStyle w:val="Normal"/>
        <w:suppressAutoHyphens w:val="false"/>
        <w:spacing w:lineRule="auto" w:line="276" w:before="0" w:after="0"/>
        <w:rPr>
          <w:rFonts w:eastAsia="Arial Unicode MS"/>
          <w:bCs/>
          <w:color w:val="000000"/>
          <w:sz w:val="24"/>
          <w:lang w:val="el-GR"/>
        </w:rPr>
      </w:pPr>
      <w:r>
        <w:rPr>
          <w:rFonts w:eastAsia="Arial Unicode MS"/>
          <w:bCs/>
          <w:color w:val="000000"/>
          <w:sz w:val="24"/>
          <w:lang w:val="el-GR"/>
        </w:rPr>
        <w:t xml:space="preserve">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(investment firms), εταιρείες διαχείρισης κεφαλαίων/ενεργητικού (asset/fund managers) ή εταιρείες διαχείρισης κεφαλαίων επιχειρηματικών συμμετοχών (private equity firms),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  </w:t>
      </w:r>
    </w:p>
    <w:p>
      <w:pPr>
        <w:pStyle w:val="Normal"/>
        <w:suppressAutoHyphens w:val="false"/>
        <w:spacing w:lineRule="auto" w:line="276" w:before="0" w:after="0"/>
        <w:rPr>
          <w:rFonts w:eastAsia="Arial Unicode MS"/>
          <w:bCs/>
          <w:color w:val="000000"/>
          <w:sz w:val="24"/>
          <w:lang w:val="el-GR"/>
        </w:rPr>
      </w:pPr>
      <w:r>
        <w:rPr>
          <w:rFonts w:eastAsia="Arial Unicode MS"/>
          <w:bCs/>
          <w:color w:val="000000"/>
          <w:sz w:val="24"/>
          <w:lang w:val="el-GR"/>
        </w:rPr>
        <w:t>Απαγορεύεται η ανάθεση της παρούσας σύμβασης, σε:</w:t>
      </w:r>
    </w:p>
    <w:p>
      <w:pPr>
        <w:pStyle w:val="Normal"/>
        <w:suppressAutoHyphens w:val="false"/>
        <w:spacing w:lineRule="auto" w:line="276" w:before="0" w:after="0"/>
        <w:rPr>
          <w:rFonts w:eastAsia="Arial Unicode MS"/>
          <w:bCs/>
          <w:color w:val="000000"/>
          <w:sz w:val="24"/>
          <w:lang w:val="el-GR"/>
        </w:rPr>
      </w:pPr>
      <w:r>
        <w:rPr>
          <w:rFonts w:eastAsia="Arial Unicode MS"/>
          <w:bCs/>
          <w:color w:val="000000"/>
          <w:sz w:val="24"/>
          <w:lang w:val="el-GR"/>
        </w:rPr>
        <w:t xml:space="preserve">α) Ρώσο υπήκοο ή φυσικό ή νομικό πρόσωπο, οντότητα ή φορέα που έχει την έδρα του στη Ρωσία  </w:t>
      </w:r>
    </w:p>
    <w:p>
      <w:pPr>
        <w:pStyle w:val="Normal"/>
        <w:suppressAutoHyphens w:val="false"/>
        <w:spacing w:lineRule="auto" w:line="276" w:before="0" w:after="0"/>
        <w:rPr>
          <w:rFonts w:eastAsia="Arial Unicode MS"/>
          <w:bCs/>
          <w:color w:val="000000"/>
          <w:sz w:val="24"/>
          <w:lang w:val="el-GR"/>
        </w:rPr>
      </w:pPr>
      <w:r>
        <w:rPr>
          <w:rFonts w:eastAsia="Arial Unicode MS"/>
          <w:bCs/>
          <w:color w:val="000000"/>
          <w:sz w:val="24"/>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pPr>
        <w:pStyle w:val="Normal"/>
        <w:suppressAutoHyphens w:val="false"/>
        <w:spacing w:lineRule="auto" w:line="276" w:before="0" w:after="0"/>
        <w:rPr/>
      </w:pPr>
      <w:r>
        <w:rPr>
          <w:rFonts w:eastAsia="Arial Unicode MS"/>
          <w:bCs/>
          <w:color w:val="000000"/>
          <w:sz w:val="24"/>
          <w:lang w:val="el-GR"/>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w:t>
      </w:r>
      <w:r>
        <w:rPr>
          <w:rStyle w:val="Style14"/>
          <w:rStyle w:val="Style14"/>
          <w:rFonts w:eastAsia="Arial Unicode MS" w:cs="Calibri"/>
          <w:bCs/>
          <w:color w:val="000000"/>
          <w:sz w:val="24"/>
          <w:lang w:val="el-GR"/>
        </w:rPr>
        <w:footnoteReference w:id="22"/>
      </w:r>
      <w:r>
        <w:rPr>
          <w:rFonts w:eastAsia="Arial Unicode MS"/>
          <w:bCs/>
          <w:color w:val="000000"/>
          <w:sz w:val="24"/>
          <w:lang w:val="el-GR"/>
        </w:rPr>
        <w:t xml:space="preserve">  </w:t>
      </w:r>
    </w:p>
    <w:p>
      <w:pPr>
        <w:pStyle w:val="Normal"/>
        <w:suppressAutoHyphens w:val="false"/>
        <w:spacing w:lineRule="auto" w:line="276" w:before="0" w:after="0"/>
        <w:rPr>
          <w:rFonts w:eastAsia="Arial Unicode MS"/>
          <w:bCs/>
          <w:color w:val="000000"/>
          <w:sz w:val="24"/>
          <w:lang w:val="el-GR"/>
        </w:rPr>
      </w:pPr>
      <w:r>
        <w:rPr>
          <w:rFonts w:eastAsia="Arial Unicode MS"/>
          <w:bCs/>
          <w:color w:val="000000"/>
          <w:sz w:val="24"/>
          <w:lang w:val="el-GR"/>
        </w:rPr>
      </w:r>
    </w:p>
    <w:p>
      <w:pPr>
        <w:pStyle w:val="Normal"/>
        <w:spacing w:lineRule="auto" w:line="276" w:before="0" w:after="0"/>
        <w:rPr/>
      </w:pPr>
      <w:r>
        <w:rPr>
          <w:rFonts w:eastAsia="Arial Unicode MS"/>
          <w:b/>
          <w:bCs/>
          <w:sz w:val="24"/>
          <w:lang w:val="el-GR"/>
        </w:rPr>
        <w:t xml:space="preserve">2.2.3.6. </w:t>
      </w:r>
      <w:r>
        <w:rPr>
          <w:rFonts w:eastAsia="Arial Unicode MS"/>
          <w:sz w:val="24"/>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120" w:after="120"/>
        <w:rPr/>
      </w:pPr>
      <w:r>
        <w:rPr>
          <w:rFonts w:eastAsia="Arial Unicode MS"/>
          <w:b/>
          <w:bCs/>
          <w:sz w:val="24"/>
          <w:lang w:val="el-GR"/>
        </w:rPr>
        <w:t>2.2.3.7.</w:t>
      </w:r>
      <w:r>
        <w:rPr>
          <w:rFonts w:eastAsia="Arial Unicode MS"/>
          <w:sz w:val="24"/>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w:t>
      </w:r>
      <w:r>
        <w:rPr>
          <w:rStyle w:val="Style14"/>
          <w:rStyle w:val="Style14"/>
          <w:rFonts w:eastAsia="Arial Unicode MS" w:cs="Calibri"/>
          <w:sz w:val="24"/>
          <w:lang w:val="el-GR"/>
        </w:rPr>
        <w:footnoteReference w:id="23"/>
      </w:r>
      <w:r>
        <w:rPr>
          <w:rFonts w:eastAsia="Arial Unicode MS"/>
          <w:sz w:val="24"/>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w:t>
      </w:r>
      <w:r>
        <w:rPr>
          <w:rFonts w:eastAsia="Arial Unicode MS"/>
          <w:sz w:val="24"/>
        </w:rPr>
        <w:t>o</w:t>
      </w:r>
      <w:r>
        <w:rPr>
          <w:rFonts w:eastAsia="Arial Unicode MS"/>
          <w:sz w:val="24"/>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Pr>
          <w:rStyle w:val="Style14"/>
          <w:rStyle w:val="Style14"/>
          <w:rFonts w:eastAsia="Arial Unicode MS" w:cs="Calibri"/>
          <w:sz w:val="24"/>
          <w:lang w:val="el-GR"/>
        </w:rPr>
        <w:footnoteReference w:id="24"/>
      </w:r>
      <w:r>
        <w:rPr>
          <w:rFonts w:eastAsia="Arial Unicode MS"/>
          <w:sz w:val="24"/>
          <w:lang w:val="el-GR"/>
        </w:rPr>
        <w:t>.</w:t>
      </w:r>
    </w:p>
    <w:p>
      <w:pPr>
        <w:pStyle w:val="Normal"/>
        <w:spacing w:lineRule="auto" w:line="276" w:before="120" w:after="120"/>
        <w:rPr>
          <w:rFonts w:eastAsia="Arial Unicode MS"/>
          <w:sz w:val="24"/>
          <w:lang w:val="el-GR"/>
        </w:rPr>
      </w:pPr>
      <w:r>
        <w:rPr>
          <w:rFonts w:eastAsia="Arial Unicode MS"/>
          <w:sz w:val="24"/>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pPr>
        <w:pStyle w:val="Normal"/>
        <w:spacing w:lineRule="auto" w:line="276"/>
        <w:rPr/>
      </w:pPr>
      <w:r>
        <w:rPr>
          <w:rFonts w:eastAsia="Arial Unicode MS"/>
          <w:b/>
          <w:bCs/>
          <w:sz w:val="24"/>
          <w:lang w:val="el-GR"/>
        </w:rPr>
        <w:t>2.2.3.8.</w:t>
      </w:r>
      <w:r>
        <w:rPr>
          <w:rFonts w:eastAsia="Arial Unicode MS"/>
          <w:sz w:val="24"/>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Style w:val="Style14"/>
          <w:rStyle w:val="Style14"/>
          <w:rFonts w:eastAsia="Arial Unicode MS" w:cs="Calibri"/>
          <w:sz w:val="24"/>
          <w:lang w:val="el-GR"/>
        </w:rPr>
        <w:footnoteReference w:id="25"/>
      </w:r>
      <w:r>
        <w:rPr>
          <w:rFonts w:eastAsia="Arial Unicode MS"/>
          <w:sz w:val="24"/>
          <w:lang w:val="el-GR"/>
        </w:rPr>
        <w:t>, καθώς και στην υπ’ αριθμ.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pPr>
        <w:pStyle w:val="Normal"/>
        <w:spacing w:lineRule="auto" w:line="276"/>
        <w:rPr/>
      </w:pPr>
      <w:r>
        <w:rPr>
          <w:rFonts w:eastAsia="Arial Unicode MS"/>
          <w:sz w:val="24"/>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epanorthotika@eaadhsy.gr  </w:t>
      </w:r>
    </w:p>
    <w:p>
      <w:pPr>
        <w:pStyle w:val="Normal"/>
        <w:spacing w:lineRule="auto" w:line="276"/>
        <w:rPr>
          <w:rFonts w:eastAsia="Arial Unicode MS"/>
          <w:sz w:val="24"/>
          <w:lang w:val="el-GR"/>
        </w:rPr>
      </w:pPr>
      <w:r>
        <w:rPr>
          <w:rFonts w:eastAsia="Arial Unicode MS"/>
          <w:sz w:val="24"/>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pPr>
        <w:pStyle w:val="Normal"/>
        <w:spacing w:lineRule="auto" w:line="276"/>
        <w:rPr>
          <w:rFonts w:eastAsia="Arial Unicode MS"/>
          <w:sz w:val="24"/>
          <w:lang w:val="el-GR"/>
        </w:rPr>
      </w:pPr>
      <w:r>
        <w:rPr>
          <w:rFonts w:eastAsia="Arial Unicode MS"/>
          <w:sz w:val="24"/>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pPr>
        <w:pStyle w:val="Normal"/>
        <w:spacing w:lineRule="auto" w:line="276"/>
        <w:rPr>
          <w:rFonts w:eastAsia="Arial Unicode MS"/>
          <w:sz w:val="24"/>
          <w:lang w:val="el-GR"/>
        </w:rPr>
      </w:pPr>
      <w:r>
        <w:rPr>
          <w:rFonts w:eastAsia="Arial Unicode MS"/>
          <w:sz w:val="24"/>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pPr>
        <w:pStyle w:val="Normal"/>
        <w:spacing w:lineRule="auto" w:line="276"/>
        <w:rPr>
          <w:rFonts w:eastAsia="Arial Unicode MS"/>
          <w:sz w:val="24"/>
          <w:lang w:val="el-GR"/>
        </w:rPr>
      </w:pPr>
      <w:r>
        <w:rPr>
          <w:rFonts w:eastAsia="Arial Unicode MS"/>
          <w:sz w:val="24"/>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pPr>
        <w:pStyle w:val="Normal"/>
        <w:spacing w:lineRule="auto" w:line="276"/>
        <w:rPr>
          <w:rFonts w:eastAsia="Arial Unicode MS"/>
          <w:sz w:val="24"/>
          <w:lang w:val="el-GR"/>
        </w:rPr>
      </w:pPr>
      <w:r>
        <w:rPr>
          <w:rFonts w:eastAsia="Arial Unicode MS"/>
          <w:sz w:val="24"/>
          <w:lang w:val="el-GR"/>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pPr>
        <w:pStyle w:val="Normal"/>
        <w:spacing w:lineRule="auto" w:line="276"/>
        <w:rPr>
          <w:rFonts w:eastAsia="Arial Unicode MS"/>
          <w:sz w:val="24"/>
          <w:lang w:val="el-GR"/>
        </w:rPr>
      </w:pPr>
      <w:r>
        <w:rPr>
          <w:rFonts w:eastAsia="Arial Unicode MS"/>
          <w:sz w:val="24"/>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pPr>
        <w:pStyle w:val="Normal"/>
        <w:spacing w:lineRule="auto" w:line="276" w:before="0" w:after="0"/>
        <w:rPr/>
      </w:pPr>
      <w:r>
        <w:rPr>
          <w:rFonts w:eastAsia="Arial Unicode MS"/>
          <w:b/>
          <w:bCs/>
          <w:color w:val="000000"/>
          <w:sz w:val="24"/>
          <w:lang w:val="el-GR"/>
        </w:rPr>
        <w:t xml:space="preserve">2.2.3.9. </w:t>
      </w:r>
      <w:r>
        <w:rPr>
          <w:rFonts w:eastAsia="Arial Unicode MS"/>
          <w:color w:val="000000"/>
          <w:sz w:val="24"/>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pPr>
        <w:pStyle w:val="Normal"/>
        <w:spacing w:lineRule="auto" w:line="276" w:before="0" w:after="0"/>
        <w:rPr>
          <w:rFonts w:eastAsia="Arial Unicode MS"/>
          <w:color w:val="000000"/>
          <w:sz w:val="24"/>
          <w:lang w:val="el-GR"/>
        </w:rPr>
      </w:pPr>
      <w:r>
        <w:rPr>
          <w:rFonts w:eastAsia="Arial Unicode MS"/>
          <w:color w:val="000000"/>
          <w:sz w:val="24"/>
          <w:lang w:val="el-GR"/>
        </w:rPr>
      </w:r>
    </w:p>
    <w:p>
      <w:pPr>
        <w:pStyle w:val="Normal"/>
        <w:spacing w:lineRule="auto" w:line="276" w:before="0" w:after="0"/>
        <w:jc w:val="left"/>
        <w:rPr/>
      </w:pPr>
      <w:r>
        <w:rPr>
          <w:rFonts w:eastAsia="Arial Unicode MS" w:cs="Calibri"/>
          <w:b/>
          <w:bCs/>
          <w:sz w:val="24"/>
          <w:lang w:val="el-GR"/>
        </w:rPr>
        <w:t>Κριτήρια Επιλογής</w:t>
      </w:r>
      <w:r>
        <w:rPr>
          <w:rStyle w:val="Style14"/>
          <w:rStyle w:val="Style14"/>
          <w:rFonts w:eastAsia="Arial Unicode MS" w:cs="Calibri"/>
          <w:b/>
          <w:bCs/>
          <w:sz w:val="24"/>
          <w:lang w:val="el-GR"/>
        </w:rPr>
        <w:footnoteReference w:id="26"/>
      </w:r>
      <w:r>
        <w:rPr>
          <w:rStyle w:val="FootnoteReference2"/>
          <w:rFonts w:eastAsia="Arial Unicode MS" w:cs="Calibri"/>
          <w:b/>
          <w:bCs/>
          <w:sz w:val="24"/>
          <w:lang w:val="el-GR"/>
        </w:rPr>
        <w:t xml:space="preserve"> </w:t>
      </w:r>
    </w:p>
    <w:p>
      <w:pPr>
        <w:pStyle w:val="Normal"/>
        <w:spacing w:lineRule="auto" w:line="276" w:before="0" w:after="0"/>
        <w:ind w:left="-510" w:right="0" w:hanging="0"/>
        <w:rPr/>
      </w:pPr>
      <w:r>
        <w:rPr>
          <w:rFonts w:eastAsia="Arial Unicode MS" w:cs="Calibri"/>
          <w:b/>
          <w:bCs/>
          <w:sz w:val="24"/>
          <w:lang w:val="el-GR"/>
        </w:rPr>
        <w:t xml:space="preserve">2.2.4 </w:t>
      </w:r>
      <w:bookmarkStart w:id="65" w:name="_Toc492539453"/>
      <w:bookmarkStart w:id="66" w:name="_Toc58242657"/>
      <w:r>
        <w:rPr>
          <w:rFonts w:eastAsia="Arial Unicode MS" w:cs="Calibri"/>
          <w:b/>
          <w:bCs/>
          <w:sz w:val="24"/>
          <w:lang w:val="el-GR"/>
        </w:rPr>
        <w:t>Καταλληλότητα άσκησης επαγγελματικής δραστηριότητας</w:t>
      </w:r>
      <w:bookmarkEnd w:id="65"/>
      <w:bookmarkEnd w:id="66"/>
      <w:r>
        <w:rPr>
          <w:rFonts w:eastAsia="Arial Unicode MS" w:cs="Calibri"/>
          <w:b/>
          <w:bCs/>
          <w:sz w:val="24"/>
          <w:lang w:val="el-GR"/>
        </w:rPr>
        <w:t xml:space="preserve"> </w:t>
      </w:r>
    </w:p>
    <w:p>
      <w:pPr>
        <w:pStyle w:val="Normal"/>
        <w:spacing w:lineRule="auto" w:line="276" w:before="0" w:after="0"/>
        <w:rPr/>
      </w:pPr>
      <w:r>
        <w:rPr>
          <w:rFonts w:eastAsia="Arial Unicode MS" w:cs="Calibri"/>
          <w:bCs/>
          <w:sz w:val="24"/>
          <w:lang w:val="el-GR"/>
        </w:rPr>
        <w:t xml:space="preserve">Οι οικονομικοί φορείς που συμμετέχουν στη διαδικασία σύναψης της παρούσας σύμβασης </w:t>
      </w:r>
      <w:r>
        <w:rPr>
          <w:rFonts w:eastAsia="Arial Unicode MS" w:cs="Calibri"/>
          <w:b/>
          <w:bCs/>
          <w:sz w:val="24"/>
          <w:lang w:val="el-GR"/>
        </w:rPr>
        <w:t>απαιτείται να ασκούν δραστηριότητα συναφή με το αντικείμενο της σύμβασης, ήτοι την παροχή υπηρεσιών καθαριότητας.</w:t>
      </w:r>
    </w:p>
    <w:p>
      <w:pPr>
        <w:pStyle w:val="Normal"/>
        <w:spacing w:lineRule="auto" w:line="276" w:before="0" w:after="0"/>
        <w:rPr>
          <w:rFonts w:eastAsia="Arial Unicode MS" w:cs="Calibri"/>
          <w:sz w:val="24"/>
          <w:lang w:val="el-GR"/>
        </w:rPr>
      </w:pPr>
      <w:r>
        <w:rPr>
          <w:rFonts w:eastAsia="Arial Unicode MS" w:cs="Calibri"/>
          <w:sz w:val="24"/>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 </w:t>
      </w:r>
    </w:p>
    <w:p>
      <w:pPr>
        <w:pStyle w:val="Normal"/>
        <w:spacing w:lineRule="auto" w:line="276" w:before="0" w:after="0"/>
        <w:rPr/>
      </w:pPr>
      <w:r>
        <w:rPr>
          <w:rFonts w:eastAsia="Arial Unicode MS" w:cs="Calibri"/>
          <w:b/>
          <w:sz w:val="24"/>
          <w:lang w:val="el-GR"/>
        </w:rPr>
        <w:t xml:space="preserve">Οι εγκατεστημένοι στην Ελλάδα οικονομικοί φορείς θα πρέπει να είναι  εγγεγραμμένοι στο </w:t>
      </w:r>
      <w:r>
        <w:rPr>
          <w:rFonts w:eastAsia="Arial Unicode MS" w:cs="Calibri"/>
          <w:sz w:val="24"/>
          <w:lang w:val="el-GR"/>
        </w:rPr>
        <w:t>οικείο επαγγελματικό μητρώο, εφόσον κατά την κείμενη νομοθεσία απαιτείται η εγγραφή τους για την υπό ανάθεση υπηρεσία.</w:t>
      </w:r>
    </w:p>
    <w:p>
      <w:pPr>
        <w:pStyle w:val="Normal"/>
        <w:spacing w:lineRule="auto" w:line="276" w:before="0" w:after="0"/>
        <w:rPr>
          <w:rFonts w:eastAsia="Arial Unicode MS" w:cs="Tahoma"/>
          <w:sz w:val="24"/>
          <w:lang w:val="el-GR"/>
        </w:rPr>
      </w:pPr>
      <w:r>
        <w:rPr>
          <w:rFonts w:eastAsia="Arial Unicode MS" w:cs="Tahoma"/>
          <w:sz w:val="24"/>
          <w:lang w:val="el-GR"/>
        </w:rPr>
        <w:t>Σε περίπτωση ένωσης οικονομικών φορέων απαιτείται να καλύπτεται η καταλληλότητα της άσκησης επαγγελματικής δραστηριότητας από όλα τα μέλη της Ένωσης</w:t>
      </w:r>
    </w:p>
    <w:p>
      <w:pPr>
        <w:pStyle w:val="3"/>
        <w:spacing w:lineRule="auto" w:line="276" w:before="0" w:after="0"/>
        <w:ind w:left="284" w:right="0" w:hanging="568"/>
        <w:rPr>
          <w:rFonts w:ascii="Calibri" w:hAnsi="Calibri" w:eastAsia="Arial Unicode MS" w:cs="Calibri"/>
          <w:sz w:val="24"/>
          <w:szCs w:val="24"/>
          <w:lang w:val="el-GR"/>
        </w:rPr>
      </w:pPr>
      <w:bookmarkStart w:id="67" w:name="__RefHeading___Toc35573_1890191151"/>
      <w:bookmarkStart w:id="68" w:name="_Toc492539454"/>
      <w:bookmarkStart w:id="69" w:name="_Toc58242658"/>
      <w:bookmarkEnd w:id="67"/>
      <w:r>
        <w:rPr>
          <w:rFonts w:eastAsia="Arial Unicode MS" w:cs="Calibri" w:ascii="Calibri" w:hAnsi="Calibri"/>
          <w:sz w:val="24"/>
          <w:szCs w:val="24"/>
          <w:lang w:val="el-GR"/>
        </w:rPr>
        <w:t>2.2.5</w:t>
        <w:tab/>
        <w:t>Οικονομική και χρηματοοικονομική επάρκεια</w:t>
      </w:r>
      <w:bookmarkEnd w:id="68"/>
      <w:bookmarkEnd w:id="69"/>
    </w:p>
    <w:p>
      <w:pPr>
        <w:pStyle w:val="Normal"/>
        <w:spacing w:lineRule="auto" w:line="276" w:before="0" w:after="0"/>
        <w:rPr>
          <w:rFonts w:eastAsia="Arial Unicode MS" w:cs="Calibri"/>
          <w:sz w:val="24"/>
          <w:lang w:val="el-GR"/>
        </w:rPr>
      </w:pPr>
      <w:r>
        <w:rPr>
          <w:rFonts w:eastAsia="Arial Unicode MS" w:cs="Calibri"/>
          <w:sz w:val="24"/>
          <w:lang w:val="el-GR"/>
        </w:rPr>
        <w:t>(Δεν απαιτείται)</w:t>
      </w:r>
      <w:bookmarkStart w:id="70" w:name="_Toc505772282"/>
      <w:bookmarkEnd w:id="70"/>
    </w:p>
    <w:p>
      <w:pPr>
        <w:pStyle w:val="Normal"/>
        <w:spacing w:lineRule="auto" w:line="276"/>
        <w:rPr>
          <w:rFonts w:ascii="Calibri" w:hAnsi="Calibri" w:eastAsia="Arial Unicode MS" w:cs="Calibri"/>
          <w:sz w:val="24"/>
          <w:lang w:val="el-GR"/>
        </w:rPr>
      </w:pPr>
      <w:r>
        <w:rPr>
          <w:rFonts w:eastAsia="Arial Unicode MS" w:cs="Calibri"/>
          <w:sz w:val="24"/>
          <w:lang w:val="el-GR"/>
        </w:rPr>
      </w:r>
    </w:p>
    <w:p>
      <w:pPr>
        <w:pStyle w:val="3"/>
        <w:spacing w:lineRule="auto" w:line="276" w:before="0" w:after="0"/>
        <w:ind w:left="207" w:right="0" w:hanging="567"/>
        <w:rPr>
          <w:rFonts w:ascii="Calibri" w:hAnsi="Calibri" w:eastAsia="Arial Unicode MS" w:cs="Calibri"/>
          <w:sz w:val="24"/>
          <w:szCs w:val="24"/>
          <w:lang w:val="el-GR"/>
        </w:rPr>
      </w:pPr>
      <w:bookmarkStart w:id="71" w:name="__RefHeading___Toc35575_1890191151"/>
      <w:bookmarkStart w:id="72" w:name="_Toc58242659"/>
      <w:bookmarkStart w:id="73" w:name="_Toc492539455"/>
      <w:bookmarkEnd w:id="71"/>
      <w:r>
        <w:rPr>
          <w:rFonts w:eastAsia="Arial Unicode MS" w:cs="Calibri" w:ascii="Calibri" w:hAnsi="Calibri"/>
          <w:sz w:val="24"/>
          <w:szCs w:val="24"/>
          <w:lang w:val="el-GR"/>
        </w:rPr>
        <w:t>2.2.6</w:t>
        <w:tab/>
        <w:t>Τεχνική και επαγγελματική ικανότητα</w:t>
      </w:r>
      <w:bookmarkEnd w:id="72"/>
      <w:bookmarkEnd w:id="73"/>
    </w:p>
    <w:p>
      <w:pPr>
        <w:pStyle w:val="Normal"/>
        <w:spacing w:lineRule="auto" w:line="276"/>
        <w:rPr>
          <w:rFonts w:eastAsia="Arial Unicode MS" w:cs="Calibri"/>
          <w:sz w:val="24"/>
          <w:lang w:val="el-GR"/>
        </w:rPr>
      </w:pPr>
      <w:r>
        <w:rPr>
          <w:rFonts w:eastAsia="Arial Unicode MS" w:cs="Calibri"/>
          <w:sz w:val="24"/>
          <w:lang w:val="el-GR"/>
        </w:rPr>
        <w:t>Όσον αφορά στην τεχνική και επαγγελματική ικανότητα για την παρούσα διαδικασία σύναψης σύμβασης, οι οικονομικοί φορείς απαιτείται:</w:t>
      </w:r>
    </w:p>
    <w:p>
      <w:pPr>
        <w:pStyle w:val="Normal"/>
        <w:numPr>
          <w:ilvl w:val="0"/>
          <w:numId w:val="10"/>
        </w:numPr>
        <w:spacing w:lineRule="auto" w:line="276"/>
        <w:rPr/>
      </w:pPr>
      <w:r>
        <w:rPr>
          <w:rFonts w:eastAsia="Arial Unicode MS" w:cs="Calibri"/>
          <w:b/>
          <w:sz w:val="24"/>
          <w:u w:val="single"/>
          <w:lang w:val="el-GR"/>
        </w:rPr>
        <w:t>κατά την τελευταία τριετία</w:t>
      </w:r>
      <w:r>
        <w:rPr>
          <w:rFonts w:eastAsia="Arial Unicode MS" w:cs="Calibri"/>
          <w:sz w:val="24"/>
          <w:lang w:val="el-GR"/>
        </w:rPr>
        <w:t xml:space="preserve"> συν το τρέχον έτος (2023-2022-2021-2020) να έχουν εκτελέσει επιτυχώς συμβάσεις (μία ή και περισσότερες) συναφούς αντικειμένου (καθαρισμός επαγγελματικών κτιρίων, δημόσιων ή ιδιωτικών, συμπεριλαμβανομένων κοινόχρηστων και βοηθητικών χώρων), συνολικού προϋπολογισμού ύψους τουλάχιστον ίσο με ποσοστό 50% του προϋπολογισμού του Τμήματος (χωρίς το δικαίωμα προαίρεσης) για το οποίο καταθέτουν προσφορά, χωρίς ΦΠΑ.</w:t>
      </w:r>
    </w:p>
    <w:p>
      <w:pPr>
        <w:pStyle w:val="Normal"/>
        <w:numPr>
          <w:ilvl w:val="0"/>
          <w:numId w:val="10"/>
        </w:numPr>
        <w:spacing w:lineRule="auto" w:line="276"/>
        <w:rPr/>
      </w:pPr>
      <w:r>
        <w:rPr>
          <w:rFonts w:eastAsia="Arial Unicode MS" w:cs="Calibri"/>
          <w:sz w:val="24"/>
          <w:lang w:val="el-GR"/>
        </w:rPr>
        <w:t xml:space="preserve">Σημειώνεται ότι: </w:t>
      </w:r>
      <w:r>
        <w:rPr>
          <w:rFonts w:eastAsia="Arial Unicode MS" w:cs="Calibri"/>
          <w:sz w:val="24"/>
          <w:lang w:val="en-US"/>
        </w:rPr>
        <w:t>i</w:t>
      </w:r>
      <w:r>
        <w:rPr>
          <w:rFonts w:eastAsia="Arial Unicode MS" w:cs="Calibri"/>
          <w:sz w:val="24"/>
          <w:lang w:val="el-GR"/>
        </w:rPr>
        <w:t xml:space="preserve">) Τα ποσά υπολογίζονται αθροιστικά, και </w:t>
      </w:r>
      <w:r>
        <w:rPr>
          <w:rFonts w:eastAsia="Arial Unicode MS" w:cs="Calibri"/>
          <w:sz w:val="24"/>
          <w:lang w:val="en-US"/>
        </w:rPr>
        <w:t>ii</w:t>
      </w:r>
      <w:r>
        <w:rPr>
          <w:rFonts w:eastAsia="Arial Unicode MS" w:cs="Calibri"/>
          <w:sz w:val="24"/>
          <w:lang w:val="el-GR"/>
        </w:rPr>
        <w:t>) η αρχική σύμβαση και τυχόν παρατάσεις αυτής θεωρείται ως μία ενιαία σύμβαση, με την προϋπόθεση ότι αθροιστικά πληρούνται οι όροι της διακήρυξης.</w:t>
      </w:r>
    </w:p>
    <w:p>
      <w:pPr>
        <w:pStyle w:val="Normal"/>
        <w:spacing w:lineRule="auto" w:line="276" w:before="0" w:after="0"/>
        <w:rPr>
          <w:rFonts w:ascii="Calibri" w:hAnsi="Calibri" w:eastAsia="Arial Unicode MS" w:cs="Calibri"/>
          <w:sz w:val="24"/>
          <w:lang w:val="el-GR"/>
        </w:rPr>
      </w:pPr>
      <w:r>
        <w:rPr>
          <w:rFonts w:eastAsia="Arial Unicode MS" w:cs="Calibri"/>
          <w:sz w:val="24"/>
          <w:lang w:val="el-GR"/>
        </w:rPr>
      </w:r>
    </w:p>
    <w:p>
      <w:pPr>
        <w:pStyle w:val="3"/>
        <w:numPr>
          <w:ilvl w:val="2"/>
          <w:numId w:val="7"/>
        </w:numPr>
        <w:spacing w:lineRule="auto" w:line="276" w:before="0" w:after="0"/>
        <w:rPr>
          <w:rFonts w:ascii="Calibri" w:hAnsi="Calibri" w:eastAsia="Arial Unicode MS" w:cs="Calibri"/>
          <w:sz w:val="24"/>
          <w:szCs w:val="24"/>
          <w:lang w:val="el-GR"/>
        </w:rPr>
      </w:pPr>
      <w:bookmarkStart w:id="74" w:name="__RefHeading___Toc35577_1890191151"/>
      <w:bookmarkStart w:id="75" w:name="_Toc492539456"/>
      <w:bookmarkStart w:id="76" w:name="_Toc58242660"/>
      <w:bookmarkEnd w:id="74"/>
      <w:r>
        <w:rPr>
          <w:rFonts w:eastAsia="Arial Unicode MS" w:cs="Calibri" w:ascii="Calibri" w:hAnsi="Calibri"/>
          <w:sz w:val="24"/>
          <w:szCs w:val="24"/>
          <w:lang w:val="el-GR"/>
        </w:rPr>
        <w:t>Πρότυπα διασφάλισης ποιότητας και πρότυπα περιβαλλοντικής διαχείρισης</w:t>
      </w:r>
      <w:bookmarkEnd w:id="75"/>
      <w:bookmarkEnd w:id="76"/>
    </w:p>
    <w:p>
      <w:pPr>
        <w:pStyle w:val="Normal"/>
        <w:shd w:val="clear" w:color="auto" w:fill="FFFFFF"/>
        <w:spacing w:lineRule="auto" w:line="276" w:before="0" w:after="0"/>
        <w:ind w:left="0" w:right="159" w:hanging="0"/>
        <w:rPr>
          <w:sz w:val="24"/>
          <w:szCs w:val="24"/>
        </w:rPr>
      </w:pPr>
      <w:r>
        <w:rPr>
          <w:sz w:val="24"/>
          <w:szCs w:val="24"/>
        </w:rPr>
        <w:t>Οι οικονομικοί Φορείς οφείλουν να συμμορφώνονται με τα διεθνή ή αντίστοιχα ευρωπαϊκά ή εθνικά  πρότυπα για τη διαχείριση της ποιότητας, για την  ασφάλεια και την υγεία στην εργασία και για το σύστημα περιβαλλοντικής διαχείρισης.</w:t>
      </w:r>
    </w:p>
    <w:p>
      <w:pPr>
        <w:pStyle w:val="Normal"/>
        <w:spacing w:before="0" w:after="0"/>
        <w:ind w:left="0" w:right="0" w:hanging="0"/>
        <w:jc w:val="both"/>
        <w:rPr/>
      </w:pPr>
      <w:r>
        <w:rPr>
          <w:rFonts w:cs="Tahoma"/>
          <w:sz w:val="24"/>
          <w:szCs w:val="24"/>
        </w:rPr>
        <w:t xml:space="preserve">Τα πιστοποιητικά θα πρέπει να έχουν εκδοθεί από ανεξάρτητους διαπιστευμένους φορείς πιστοποίησης, και να βεβαιώνουν ότι ο οικονομικός φορέας συμμορφώνεται με τα απαιτούμενα συστήματα ή πρότυπα. Σε περίπτωση ενώσεων η πλήρωση της ανωτέρω απαίτησης αρκεί να ικανοποιείται τουλάχιστον από τον εκπρόσωπο/ συντονιστή της ένωσης. </w:t>
      </w:r>
    </w:p>
    <w:p>
      <w:pPr>
        <w:pStyle w:val="Normal"/>
        <w:shd w:val="clear" w:color="auto" w:fill="FFFFFF"/>
        <w:spacing w:before="0" w:after="0"/>
        <w:ind w:left="0" w:right="159" w:hanging="0"/>
        <w:jc w:val="both"/>
        <w:rPr>
          <w:rFonts w:cs="Tahoma"/>
          <w:sz w:val="24"/>
          <w:szCs w:val="24"/>
        </w:rPr>
      </w:pPr>
      <w:r>
        <w:rPr>
          <w:rFonts w:cs="Tahoma"/>
          <w:sz w:val="24"/>
          <w:szCs w:val="24"/>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pPr>
        <w:pStyle w:val="Normal"/>
        <w:spacing w:lineRule="auto" w:line="276" w:before="0" w:after="0"/>
        <w:rPr>
          <w:rFonts w:ascii="Calibri" w:hAnsi="Calibri" w:eastAsia="Arial Unicode MS" w:cs="Calibri"/>
          <w:sz w:val="24"/>
          <w:lang w:val="el-GR"/>
        </w:rPr>
      </w:pPr>
      <w:r>
        <w:rPr>
          <w:rFonts w:eastAsia="Arial Unicode MS" w:cs="Calibri"/>
          <w:sz w:val="24"/>
          <w:lang w:val="el-GR"/>
        </w:rPr>
      </w:r>
    </w:p>
    <w:p>
      <w:pPr>
        <w:pStyle w:val="3"/>
        <w:spacing w:lineRule="auto" w:line="276" w:before="0" w:after="0"/>
        <w:ind w:left="210" w:right="0" w:hanging="567"/>
        <w:rPr/>
      </w:pPr>
      <w:bookmarkStart w:id="77" w:name="__RefHeading___Toc35579_1890191151"/>
      <w:bookmarkStart w:id="78" w:name="_Toc127963062"/>
      <w:bookmarkStart w:id="79" w:name="_Toc492539457"/>
      <w:bookmarkEnd w:id="77"/>
      <w:r>
        <w:rPr>
          <w:rFonts w:eastAsia="Arial Unicode MS" w:cs="Calibri" w:ascii="Calibri" w:hAnsi="Calibri"/>
          <w:sz w:val="24"/>
          <w:szCs w:val="24"/>
          <w:lang w:val="el-GR"/>
        </w:rPr>
        <w:t>2.2.8</w:t>
        <w:tab/>
        <w:t xml:space="preserve"> Στήριξη στην ικανότητα τρίτων</w:t>
      </w:r>
      <w:bookmarkEnd w:id="79"/>
      <w:r>
        <w:rPr>
          <w:rFonts w:eastAsia="Arial Unicode MS" w:cs="Calibri" w:ascii="Calibri" w:hAnsi="Calibri"/>
          <w:sz w:val="24"/>
          <w:szCs w:val="24"/>
          <w:lang w:val="el-GR"/>
        </w:rPr>
        <w:t>/ Υπεργολαβία</w:t>
      </w:r>
      <w:bookmarkEnd w:id="78"/>
      <w:r>
        <w:rPr>
          <w:rFonts w:eastAsia="Arial Unicode MS" w:cs="Calibri" w:ascii="Calibri" w:hAnsi="Calibri"/>
          <w:sz w:val="24"/>
          <w:szCs w:val="24"/>
          <w:lang w:val="el-GR"/>
        </w:rPr>
        <w:t xml:space="preserve"> </w:t>
      </w:r>
    </w:p>
    <w:p>
      <w:pPr>
        <w:pStyle w:val="Normal"/>
        <w:spacing w:lineRule="auto" w:line="276" w:before="0" w:after="0"/>
        <w:rPr>
          <w:rFonts w:eastAsia="Arial Unicode MS"/>
          <w:b/>
          <w:b/>
          <w:sz w:val="24"/>
          <w:lang w:val="el-GR"/>
        </w:rPr>
      </w:pPr>
      <w:r>
        <w:rPr>
          <w:rFonts w:eastAsia="Arial Unicode MS"/>
          <w:b/>
          <w:sz w:val="24"/>
          <w:lang w:val="el-GR"/>
        </w:rPr>
        <w:t>2.2.8.1. Στήριξη στην ικανότητα τρίτων</w:t>
      </w:r>
    </w:p>
    <w:p>
      <w:pPr>
        <w:pStyle w:val="Normal"/>
        <w:spacing w:lineRule="auto" w:line="276" w:before="0" w:after="0"/>
        <w:rPr>
          <w:rFonts w:eastAsia="Arial Unicode MS"/>
          <w:sz w:val="24"/>
          <w:lang w:val="el-GR"/>
        </w:rPr>
      </w:pPr>
      <w:r>
        <w:rPr>
          <w:rFonts w:eastAsia="Arial Unicode MS"/>
          <w:sz w:val="24"/>
          <w:lang w:val="el-GR"/>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pPr>
        <w:pStyle w:val="Normal"/>
        <w:spacing w:lineRule="auto" w:line="276" w:before="0" w:after="0"/>
        <w:rPr>
          <w:rFonts w:eastAsia="Arial Unicode MS"/>
          <w:sz w:val="24"/>
          <w:lang w:val="el-GR"/>
        </w:rPr>
      </w:pPr>
      <w:r>
        <w:rPr>
          <w:rFonts w:eastAsia="Arial Unicode MS"/>
          <w:sz w:val="24"/>
          <w:lang w:val="el-GR"/>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 .</w:t>
      </w:r>
    </w:p>
    <w:p>
      <w:pPr>
        <w:pStyle w:val="Normal"/>
        <w:spacing w:lineRule="auto" w:line="276" w:before="0" w:after="0"/>
        <w:rPr>
          <w:rFonts w:eastAsia="Arial Unicode MS"/>
          <w:sz w:val="24"/>
          <w:lang w:val="el-GR"/>
        </w:rPr>
      </w:pPr>
      <w:r>
        <w:rPr>
          <w:rFonts w:eastAsia="Arial Unicode MS"/>
          <w:sz w:val="24"/>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pPr>
        <w:pStyle w:val="Normal"/>
        <w:spacing w:lineRule="auto" w:line="276" w:before="0" w:after="0"/>
        <w:rPr>
          <w:rFonts w:eastAsia="Arial Unicode MS"/>
          <w:sz w:val="24"/>
          <w:lang w:val="el-GR"/>
        </w:rPr>
      </w:pPr>
      <w:r>
        <w:rPr>
          <w:rFonts w:eastAsia="Arial Unicode MS"/>
          <w:sz w:val="24"/>
          <w:lang w:val="el-GR"/>
        </w:rPr>
        <w:t>Υπό τους ίδιους όρους οι ενώσεις οικονομικών φορέων μπορούν να στηρίζονται στις ικανότητες των συμμετεχόντων στην ένωση ή άλλων φορέων .</w:t>
      </w:r>
    </w:p>
    <w:p>
      <w:pPr>
        <w:pStyle w:val="Normal"/>
        <w:spacing w:lineRule="auto" w:line="276" w:before="0" w:after="0"/>
        <w:rPr>
          <w:rFonts w:eastAsia="Arial Unicode MS"/>
          <w:sz w:val="24"/>
          <w:lang w:val="el-GR"/>
        </w:rPr>
      </w:pPr>
      <w:r>
        <w:rPr>
          <w:rFonts w:eastAsia="Arial Unicode MS"/>
          <w:sz w:val="24"/>
          <w:lang w:val="el-GR"/>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pPr>
        <w:pStyle w:val="Normal"/>
        <w:spacing w:lineRule="auto" w:line="276" w:before="120" w:after="0"/>
        <w:rPr>
          <w:rFonts w:eastAsia="Arial Unicode MS"/>
          <w:b/>
          <w:b/>
          <w:sz w:val="24"/>
          <w:lang w:val="el-GR"/>
        </w:rPr>
      </w:pPr>
      <w:r>
        <w:rPr>
          <w:rFonts w:eastAsia="Arial Unicode MS"/>
          <w:b/>
          <w:sz w:val="24"/>
          <w:lang w:val="el-GR"/>
        </w:rPr>
        <w:t>2.2.8.2. Υπεργολαβία</w:t>
      </w:r>
    </w:p>
    <w:p>
      <w:pPr>
        <w:pStyle w:val="Normal"/>
        <w:spacing w:lineRule="auto" w:line="276" w:before="0" w:after="0"/>
        <w:rPr/>
      </w:pPr>
      <w:r>
        <w:rPr>
          <w:rFonts w:eastAsia="Arial Unicode MS"/>
          <w:sz w:val="24"/>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pPr>
        <w:pStyle w:val="Normal"/>
        <w:spacing w:lineRule="auto" w:line="276" w:before="0" w:after="0"/>
        <w:rPr>
          <w:rFonts w:eastAsia="Arial Unicode MS"/>
          <w:sz w:val="24"/>
          <w:lang w:val="el-GR"/>
        </w:rPr>
      </w:pPr>
      <w:r>
        <w:rPr>
          <w:rFonts w:eastAsia="Arial Unicode MS"/>
          <w:sz w:val="24"/>
          <w:lang w:val="el-GR"/>
        </w:rPr>
      </w:r>
    </w:p>
    <w:p>
      <w:pPr>
        <w:pStyle w:val="3"/>
        <w:spacing w:lineRule="auto" w:line="276" w:before="0" w:after="0"/>
        <w:ind w:left="207" w:right="0" w:hanging="567"/>
        <w:rPr>
          <w:rFonts w:ascii="Calibri" w:hAnsi="Calibri" w:eastAsia="Arial Unicode MS" w:cs="Calibri"/>
          <w:sz w:val="24"/>
          <w:szCs w:val="24"/>
          <w:lang w:val="el-GR"/>
        </w:rPr>
      </w:pPr>
      <w:bookmarkStart w:id="80" w:name="__RefHeading___Toc35581_1890191151"/>
      <w:bookmarkStart w:id="81" w:name="_Toc492539458"/>
      <w:bookmarkStart w:id="82" w:name="_Toc127963063"/>
      <w:bookmarkEnd w:id="80"/>
      <w:r>
        <w:rPr>
          <w:rFonts w:eastAsia="Arial Unicode MS" w:cs="Calibri" w:ascii="Calibri" w:hAnsi="Calibri"/>
          <w:sz w:val="24"/>
          <w:szCs w:val="24"/>
          <w:lang w:val="el-GR"/>
        </w:rPr>
        <w:t>2.2.9</w:t>
        <w:tab/>
        <w:t xml:space="preserve"> Κανόνες απόδειξης ποιοτικής επιλογής</w:t>
      </w:r>
      <w:bookmarkEnd w:id="81"/>
      <w:bookmarkEnd w:id="82"/>
    </w:p>
    <w:p>
      <w:pPr>
        <w:pStyle w:val="Normal"/>
        <w:spacing w:lineRule="auto" w:line="276"/>
        <w:rPr>
          <w:rFonts w:eastAsia="Arial Unicode MS"/>
          <w:sz w:val="24"/>
          <w:lang w:val="el-GR"/>
        </w:rPr>
      </w:pPr>
      <w:r>
        <w:rPr>
          <w:rFonts w:eastAsia="Arial Unicode MS"/>
          <w:sz w:val="24"/>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pPr>
        <w:pStyle w:val="Normal"/>
        <w:spacing w:lineRule="auto" w:line="276"/>
        <w:rPr>
          <w:rFonts w:eastAsia="Arial Unicode MS"/>
          <w:sz w:val="24"/>
          <w:lang w:val="el-GR"/>
        </w:rPr>
      </w:pPr>
      <w:r>
        <w:rPr>
          <w:rFonts w:eastAsia="Arial Unicode MS"/>
          <w:sz w:val="24"/>
          <w:lang w:val="el-GR"/>
        </w:rPr>
        <w:t>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 (παράγραφοι 2.2.5 και 2.2.6 ) .</w:t>
      </w:r>
    </w:p>
    <w:p>
      <w:pPr>
        <w:pStyle w:val="Normal"/>
        <w:spacing w:lineRule="auto" w:line="276"/>
        <w:rPr>
          <w:rFonts w:eastAsia="Arial Unicode MS"/>
          <w:sz w:val="24"/>
          <w:lang w:val="el-GR"/>
        </w:rPr>
      </w:pPr>
      <w:r>
        <w:rPr>
          <w:rFonts w:eastAsia="Arial Unicode MS"/>
          <w:sz w:val="24"/>
          <w:lang w:val="el-GR"/>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pPr>
        <w:pStyle w:val="Normal"/>
        <w:spacing w:lineRule="auto" w:line="276" w:before="0" w:after="0"/>
        <w:rPr>
          <w:rFonts w:eastAsia="Arial Unicode MS"/>
          <w:sz w:val="24"/>
          <w:lang w:val="el-GR"/>
        </w:rPr>
      </w:pPr>
      <w:r>
        <w:rPr>
          <w:rFonts w:eastAsia="Arial Unicode MS"/>
          <w:sz w:val="24"/>
          <w:lang w:val="el-GR"/>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p>
    <w:p>
      <w:pPr>
        <w:pStyle w:val="Normal"/>
        <w:spacing w:lineRule="auto" w:line="276" w:before="0" w:after="0"/>
        <w:rPr>
          <w:rFonts w:eastAsia="Arial Unicode MS"/>
          <w:sz w:val="24"/>
          <w:lang w:val="el-GR"/>
        </w:rPr>
      </w:pPr>
      <w:r>
        <w:rPr>
          <w:rFonts w:eastAsia="Arial Unicode MS"/>
          <w:sz w:val="24"/>
          <w:lang w:val="el-GR"/>
        </w:rPr>
      </w:r>
    </w:p>
    <w:p>
      <w:pPr>
        <w:pStyle w:val="4"/>
        <w:spacing w:lineRule="auto" w:line="276" w:before="0" w:after="120"/>
        <w:ind w:left="207" w:right="0" w:hanging="567"/>
        <w:rPr>
          <w:rFonts w:ascii="Calibri" w:hAnsi="Calibri" w:eastAsia="Arial Unicode MS" w:cs="Calibri"/>
          <w:sz w:val="24"/>
          <w:szCs w:val="24"/>
          <w:lang w:val="el-GR"/>
        </w:rPr>
      </w:pPr>
      <w:r>
        <w:rPr>
          <w:rFonts w:eastAsia="Arial Unicode MS" w:cs="Calibri" w:ascii="Calibri" w:hAnsi="Calibri"/>
          <w:sz w:val="24"/>
          <w:szCs w:val="24"/>
          <w:lang w:val="el-GR"/>
        </w:rPr>
        <w:t xml:space="preserve">  </w:t>
      </w:r>
      <w:r>
        <w:rPr>
          <w:rFonts w:eastAsia="Arial Unicode MS" w:cs="Calibri" w:ascii="Calibri" w:hAnsi="Calibri"/>
          <w:sz w:val="24"/>
          <w:szCs w:val="24"/>
          <w:lang w:val="el-GR"/>
        </w:rPr>
        <w:t xml:space="preserve">2.2.9.1 Προκαταρκτική απόδειξη κατά την υποβολή προσφορών </w:t>
      </w:r>
    </w:p>
    <w:p>
      <w:pPr>
        <w:pStyle w:val="Normal"/>
        <w:spacing w:lineRule="auto" w:line="276" w:before="0" w:after="0"/>
        <w:rPr/>
      </w:pPr>
      <w:r>
        <w:rPr>
          <w:rFonts w:eastAsia="Arial Unicode MS"/>
          <w:sz w:val="24"/>
          <w:lang w:val="el-GR"/>
        </w:rPr>
        <w:t>Προς προκαταρκτική απόδειξη ότι οι προσφέροντες οικονομικοί φορείς: α) έχουν δικαίωμα συμμετοχής στη παρούσα διαδικασία σύμφωνα με το άρθρο 2.2.1, β) δεν βρίσκονται σε μία από τις καταστάσεις της παραγράφου 2.2.3 και γ) πληρούν τα σχετικά κριτήρια επιλογής των παραγράφων 2.2.4, 2.2.5, 2.2.6 και 2.2.7. της παρούσης,</w:t>
      </w:r>
      <w:r>
        <w:rPr>
          <w:rFonts w:eastAsia="Arial Unicode MS"/>
          <w:b/>
          <w:sz w:val="24"/>
          <w:lang w:val="el-GR"/>
        </w:rPr>
        <w:t xml:space="preserve"> προσκομίζουν κατά την υποβολή της προσφοράς τους,</w:t>
      </w:r>
      <w:r>
        <w:rPr>
          <w:rFonts w:eastAsia="Arial Unicode MS"/>
          <w:b/>
          <w:sz w:val="24"/>
          <w:u w:val="single"/>
          <w:lang w:val="el-GR"/>
        </w:rPr>
        <w:t xml:space="preserve"> ως δικαιολογητικά συμμετοχής:</w:t>
      </w:r>
    </w:p>
    <w:p>
      <w:pPr>
        <w:pStyle w:val="Normal"/>
        <w:spacing w:lineRule="auto" w:line="276" w:before="0" w:after="0"/>
        <w:rPr/>
      </w:pPr>
      <w:r>
        <w:rPr>
          <w:rFonts w:eastAsia="Arial Unicode MS"/>
          <w:b/>
          <w:color w:val="000000"/>
          <w:sz w:val="24"/>
          <w:lang w:val="el-GR"/>
        </w:rPr>
        <w:t xml:space="preserve">1. </w:t>
      </w:r>
      <w:r>
        <w:rPr>
          <w:rFonts w:eastAsia="Arial Unicode MS"/>
          <w:b/>
          <w:color w:val="000000"/>
          <w:sz w:val="24"/>
        </w:rPr>
        <w:t>Y</w:t>
      </w:r>
      <w:r>
        <w:rPr>
          <w:rFonts w:eastAsia="Arial Unicode MS"/>
          <w:b/>
          <w:color w:val="000000"/>
          <w:sz w:val="24"/>
          <w:lang w:val="el-GR"/>
        </w:rPr>
        <w:t>πεύθυνη δήλωση του ν. 1599/1986 με το ακόλουθο περιεχόμενο:</w:t>
      </w:r>
      <w:r>
        <w:rPr>
          <w:rFonts w:eastAsia="Arial Unicode MS"/>
          <w:color w:val="000000"/>
          <w:sz w:val="24"/>
          <w:lang w:val="el-GR"/>
        </w:rPr>
        <w:t xml:space="preserve">  </w:t>
      </w:r>
    </w:p>
    <w:p>
      <w:pPr>
        <w:pStyle w:val="Normal"/>
        <w:spacing w:lineRule="auto" w:line="276" w:before="0" w:after="0"/>
        <w:rPr/>
      </w:pPr>
      <w:r>
        <w:rPr>
          <w:rFonts w:eastAsia="Arial Unicode MS"/>
          <w:color w:val="000000"/>
          <w:sz w:val="24"/>
          <w:lang w:val="el-GR"/>
        </w:rPr>
        <w:t>«Δηλώνω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pPr>
        <w:pStyle w:val="Normal"/>
        <w:spacing w:lineRule="auto" w:line="276" w:before="0" w:after="0"/>
        <w:rPr/>
      </w:pPr>
      <w:r>
        <w:rPr>
          <w:rFonts w:eastAsia="Arial Unicode MS"/>
          <w:b/>
          <w:sz w:val="24"/>
          <w:lang w:val="el-GR"/>
        </w:rPr>
        <w:t>2</w:t>
      </w:r>
      <w:r>
        <w:rPr>
          <w:rFonts w:eastAsia="Arial Unicode MS"/>
          <w:sz w:val="24"/>
          <w:lang w:val="el-GR"/>
        </w:rPr>
        <w:t xml:space="preserve">. </w:t>
      </w:r>
      <w:r>
        <w:rPr>
          <w:rFonts w:eastAsia="Arial Unicode MS"/>
          <w:b/>
          <w:sz w:val="24"/>
          <w:lang w:val="el-GR"/>
        </w:rPr>
        <w:t>Το προβλεπόμενο από το άρθρο 79 παρ. 1 και 3 του ν. 4412/2016 Ευρωπαϊκό Ενιαίο Έγγραφο Σύμβασης (ΕΕΕΣ), σύμφωνα με το επισυναπτόμενο στην παρούσα Παράρτημα Ι</w:t>
      </w:r>
      <w:r>
        <w:rPr>
          <w:rFonts w:eastAsia="Arial Unicode MS"/>
          <w:b/>
          <w:color w:val="FF0000"/>
          <w:sz w:val="24"/>
          <w:lang w:val="el-GR"/>
        </w:rPr>
        <w:t xml:space="preserve"> </w:t>
      </w:r>
      <w:r>
        <w:rPr>
          <w:rFonts w:eastAsia="Arial Unicode MS"/>
          <w:sz w:val="24"/>
          <w:lang w:val="el-GR"/>
        </w:rPr>
        <w:t xml:space="preserve">,το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Pr>
          <w:rFonts w:eastAsia="Arial Unicode MS"/>
          <w:b/>
          <w:sz w:val="24"/>
          <w:lang w:val="el-GR"/>
        </w:rPr>
        <w:t>Παραρτήματος Ι</w:t>
      </w:r>
      <w:r>
        <w:rPr>
          <w:rStyle w:val="Style14"/>
          <w:rStyle w:val="Style14"/>
          <w:rFonts w:eastAsia="Arial Unicode MS" w:cs="Calibri"/>
          <w:b/>
          <w:sz w:val="24"/>
          <w:lang w:val="el-GR"/>
        </w:rPr>
        <w:footnoteReference w:id="27"/>
      </w:r>
      <w:r>
        <w:rPr>
          <w:rFonts w:eastAsia="Arial Unicode MS"/>
          <w:b/>
          <w:sz w:val="24"/>
          <w:lang w:val="el-GR"/>
        </w:rPr>
        <w:t xml:space="preserve"> (στην ηλεκτρονική υπηρεσία </w:t>
      </w:r>
      <w:r>
        <w:rPr>
          <w:rFonts w:eastAsia="Arial Unicode MS"/>
          <w:b/>
          <w:sz w:val="24"/>
          <w:lang w:val="en-US"/>
        </w:rPr>
        <w:t>Promitheus</w:t>
      </w:r>
      <w:r>
        <w:rPr>
          <w:rFonts w:eastAsia="Arial Unicode MS"/>
          <w:b/>
          <w:sz w:val="24"/>
          <w:lang w:val="el-GR"/>
        </w:rPr>
        <w:t xml:space="preserve"> </w:t>
      </w:r>
      <w:r>
        <w:rPr>
          <w:rFonts w:eastAsia="Arial Unicode MS"/>
          <w:b/>
          <w:sz w:val="24"/>
          <w:lang w:val="en-US"/>
        </w:rPr>
        <w:t>ESPDint</w:t>
      </w:r>
      <w:r>
        <w:rPr>
          <w:rFonts w:eastAsia="Arial Unicode MS"/>
          <w:b/>
          <w:sz w:val="24"/>
          <w:lang w:val="el-GR"/>
        </w:rPr>
        <w:t xml:space="preserve"> (</w:t>
      </w:r>
      <w:hyperlink r:id="rId22">
        <w:r>
          <w:rPr>
            <w:rStyle w:val="Style7"/>
            <w:sz w:val="24"/>
          </w:rPr>
          <w:t>https</w:t>
        </w:r>
      </w:hyperlink>
      <w:hyperlink r:id="rId23">
        <w:r>
          <w:rPr>
            <w:rStyle w:val="Style7"/>
            <w:sz w:val="24"/>
            <w:lang w:val="el-GR"/>
          </w:rPr>
          <w:t>://</w:t>
        </w:r>
      </w:hyperlink>
      <w:hyperlink r:id="rId24">
        <w:r>
          <w:rPr>
            <w:rStyle w:val="Style7"/>
            <w:sz w:val="24"/>
          </w:rPr>
          <w:t>espd</w:t>
        </w:r>
      </w:hyperlink>
      <w:hyperlink r:id="rId25">
        <w:r>
          <w:rPr>
            <w:rStyle w:val="Style7"/>
            <w:sz w:val="24"/>
            <w:lang w:val="el-GR"/>
          </w:rPr>
          <w:t>.</w:t>
        </w:r>
      </w:hyperlink>
      <w:hyperlink r:id="rId26">
        <w:r>
          <w:rPr>
            <w:rStyle w:val="Style7"/>
            <w:sz w:val="24"/>
          </w:rPr>
          <w:t>eprocurement</w:t>
        </w:r>
      </w:hyperlink>
      <w:hyperlink r:id="rId27">
        <w:r>
          <w:rPr>
            <w:rStyle w:val="Style7"/>
            <w:sz w:val="24"/>
            <w:lang w:val="el-GR"/>
          </w:rPr>
          <w:t>.</w:t>
        </w:r>
      </w:hyperlink>
      <w:hyperlink r:id="rId28">
        <w:r>
          <w:rPr>
            <w:rStyle w:val="Style7"/>
            <w:sz w:val="24"/>
          </w:rPr>
          <w:t>gov</w:t>
        </w:r>
      </w:hyperlink>
      <w:hyperlink r:id="rId29">
        <w:r>
          <w:rPr>
            <w:rStyle w:val="Style7"/>
            <w:sz w:val="24"/>
            <w:lang w:val="el-GR"/>
          </w:rPr>
          <w:t>.</w:t>
        </w:r>
      </w:hyperlink>
      <w:hyperlink r:id="rId30">
        <w:r>
          <w:rPr>
            <w:rStyle w:val="Style7"/>
            <w:sz w:val="24"/>
          </w:rPr>
          <w:t>gr</w:t>
        </w:r>
      </w:hyperlink>
      <w:hyperlink r:id="rId31">
        <w:r>
          <w:rPr>
            <w:rStyle w:val="Style7"/>
            <w:sz w:val="24"/>
            <w:lang w:val="el-GR"/>
          </w:rPr>
          <w:t>/</w:t>
        </w:r>
      </w:hyperlink>
      <w:r>
        <w:rPr>
          <w:rFonts w:eastAsia="Arial Unicode MS"/>
          <w:b/>
          <w:sz w:val="24"/>
          <w:lang w:val="el-GR"/>
        </w:rPr>
        <w:t>, βλέπε και Κατευθυντήρια Οδηγία 23 της ΕΑΔΗΣΥ, ΑΔΑ:Ψ3ΗΙΟΞΤΒ-Κ3Ε).</w:t>
      </w:r>
    </w:p>
    <w:p>
      <w:pPr>
        <w:pStyle w:val="Normal"/>
        <w:spacing w:lineRule="auto" w:line="276"/>
        <w:rPr/>
      </w:pPr>
      <w:r>
        <w:rPr>
          <w:b/>
          <w:bCs/>
          <w:sz w:val="24"/>
          <w:u w:val="single"/>
          <w:lang w:val="el-GR"/>
        </w:rPr>
        <w:t xml:space="preserve">Επισημαίνεται ότι οι προσφέροντες για το μέρος </w:t>
      </w:r>
      <w:r>
        <w:rPr>
          <w:b/>
          <w:bCs/>
          <w:sz w:val="24"/>
          <w:u w:val="single"/>
          <w:lang w:val="en-US"/>
        </w:rPr>
        <w:t>I</w:t>
      </w:r>
      <w:r>
        <w:rPr>
          <w:b/>
          <w:bCs/>
          <w:sz w:val="24"/>
          <w:u w:val="single"/>
          <w:lang w:val="el-GR"/>
        </w:rPr>
        <w:t xml:space="preserve"> Κριτήρια επιλογής του ΕΕΕΣ συμπληρώνουν μόνο την ενότητα α «Γενική ένδειξη για όλα τα κριτήρια επιλογής</w:t>
      </w:r>
    </w:p>
    <w:p>
      <w:pPr>
        <w:pStyle w:val="Normal"/>
        <w:spacing w:lineRule="auto" w:line="276"/>
        <w:rPr/>
      </w:pPr>
      <w:r>
        <w:rPr>
          <w:rFonts w:eastAsia="Arial Unicode MS"/>
          <w:b/>
          <w:sz w:val="24"/>
          <w:lang w:val="el-GR"/>
        </w:rPr>
        <w:t>Το ΕΕΕΣ φέρει υπογραφή με ημερομηνία εντός του χρονικού διαστήματος κατά το οποίο μπορούν να υποβάλλονται προσφορές</w:t>
      </w:r>
      <w:r>
        <w:rPr>
          <w:rFonts w:eastAsia="Arial Unicode MS"/>
          <w:sz w:val="24"/>
          <w:lang w:val="el-GR"/>
        </w:rPr>
        <w:t xml:space="preserve">. Αν στο διάστημα που μεσολαβεί μεταξύ της ημερομηνίας υπογραφής του ΕΕΕΣ και της καταληκτικής ημερομηνίας υποβολής προσφορών έχουν επέλθει </w:t>
      </w:r>
      <w:r>
        <w:rPr>
          <w:rFonts w:eastAsia="Arial Unicode MS"/>
          <w:sz w:val="24"/>
          <w:u w:val="single"/>
          <w:lang w:val="el-GR"/>
        </w:rPr>
        <w:t>μεταβολές στα δηλωθέντα σ</w:t>
      </w:r>
      <w:r>
        <w:rPr>
          <w:rFonts w:eastAsia="Arial Unicode MS"/>
          <w:sz w:val="24"/>
          <w:lang w:val="el-GR"/>
        </w:rPr>
        <w:t xml:space="preserve">τοιχεία, εκ μέρους του, στο ΕΕΕΣ, ο οικονομικός φορέας </w:t>
      </w:r>
      <w:r>
        <w:rPr>
          <w:rFonts w:eastAsia="Arial Unicode MS"/>
          <w:sz w:val="24"/>
          <w:u w:val="single"/>
          <w:lang w:val="el-GR"/>
        </w:rPr>
        <w:t>αποσύρει την προσφορά του</w:t>
      </w:r>
      <w:r>
        <w:rPr>
          <w:rFonts w:eastAsia="Arial Unicode MS"/>
          <w:sz w:val="24"/>
          <w:lang w:val="el-GR"/>
        </w:rPr>
        <w:t>, χωρίς να απαιτείται απόφαση της αναθέτουσας αρχής. Στη συνέχεια μπορεί να την υποβάλει εκ νέου με επίκαιρο ΕΕΕΣ.</w:t>
      </w:r>
      <w:r>
        <w:rPr>
          <w:rStyle w:val="Style14"/>
          <w:rStyle w:val="Style14"/>
          <w:rFonts w:eastAsia="Arial Unicode MS" w:cs="Calibri"/>
          <w:sz w:val="24"/>
          <w:lang w:val="el-GR"/>
        </w:rPr>
        <w:footnoteReference w:id="28"/>
      </w:r>
      <w:r>
        <w:rPr>
          <w:rFonts w:eastAsia="Arial Unicode MS"/>
          <w:sz w:val="24"/>
          <w:lang w:val="el-GR"/>
        </w:rPr>
        <w:t xml:space="preserve"> </w:t>
      </w:r>
      <w:r>
        <w:rPr>
          <w:rFonts w:eastAsia="Arial Unicode MS"/>
          <w:bCs/>
          <w:iCs/>
          <w:sz w:val="24"/>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Pr>
          <w:rStyle w:val="Style14"/>
          <w:rStyle w:val="Style14"/>
          <w:rFonts w:eastAsia="Arial Unicode MS" w:cs="Calibri"/>
          <w:bCs/>
          <w:iCs/>
          <w:sz w:val="24"/>
          <w:lang w:val="el-GR"/>
        </w:rPr>
        <w:footnoteReference w:id="29"/>
      </w:r>
      <w:r>
        <w:rPr>
          <w:rFonts w:eastAsia="Arial Unicode MS"/>
          <w:bCs/>
          <w:iCs/>
          <w:sz w:val="24"/>
          <w:lang w:val="el-GR"/>
        </w:rPr>
        <w:t>.</w:t>
      </w:r>
    </w:p>
    <w:p>
      <w:pPr>
        <w:pStyle w:val="Normal"/>
        <w:spacing w:lineRule="auto" w:line="276"/>
        <w:rPr>
          <w:rFonts w:eastAsia="Arial Unicode MS"/>
          <w:sz w:val="24"/>
          <w:lang w:val="el-GR"/>
        </w:rPr>
      </w:pPr>
      <w:r>
        <w:rPr>
          <w:rFonts w:eastAsia="Arial Unicode MS"/>
          <w:sz w:val="24"/>
          <w:lang w:val="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pPr>
        <w:pStyle w:val="Normal"/>
        <w:spacing w:lineRule="auto" w:line="276"/>
        <w:rPr/>
      </w:pPr>
      <w:r>
        <w:rPr>
          <w:rFonts w:eastAsia="Arial Unicode MS"/>
          <w:b/>
          <w:sz w:val="24"/>
          <w:lang w:val="el-GR"/>
        </w:rPr>
        <w:t>Ως εκπρόσωπος του οικονομικού φορέα νοείται ο νόμιμος εκπρόσωπος αυτού</w:t>
      </w:r>
      <w:r>
        <w:rPr>
          <w:rFonts w:eastAsia="Arial Unicode MS"/>
          <w:sz w:val="24"/>
          <w:lang w:val="el-GR"/>
        </w:rPr>
        <w:t>,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pPr>
        <w:pStyle w:val="Normal"/>
        <w:spacing w:lineRule="auto" w:line="276"/>
        <w:rPr/>
      </w:pPr>
      <w:r>
        <w:rPr>
          <w:rFonts w:eastAsia="Arial Unicode MS"/>
          <w:b/>
          <w:sz w:val="24"/>
          <w:lang w:val="el-GR"/>
        </w:rPr>
        <w:t xml:space="preserve">Στην περίπτωση υποβολής προσφοράς από ένωση οικονομικών φορέων, το Ευρωπαϊκό Ενιαίο Έγγραφο Σύμβασης (ΕΕΕΣ), </w:t>
      </w:r>
      <w:r>
        <w:rPr>
          <w:rFonts w:eastAsia="Arial Unicode MS"/>
          <w:b/>
          <w:sz w:val="24"/>
          <w:u w:val="single"/>
          <w:lang w:val="el-GR"/>
        </w:rPr>
        <w:t>υποβάλλεται χωριστά από κάθε μέλος</w:t>
      </w:r>
      <w:r>
        <w:rPr>
          <w:rFonts w:eastAsia="Arial Unicode MS"/>
          <w:b/>
          <w:sz w:val="24"/>
          <w:lang w:val="el-GR"/>
        </w:rPr>
        <w:t xml:space="preserve"> της ένωσης.</w:t>
      </w:r>
      <w:r>
        <w:rPr>
          <w:rFonts w:eastAsia="Arial Unicode MS"/>
          <w:sz w:val="24"/>
          <w:lang w:val="el-GR" w:eastAsia="ar-SA"/>
        </w:rPr>
        <w:t xml:space="preserve"> </w:t>
      </w:r>
      <w:r>
        <w:rPr>
          <w:rFonts w:eastAsia="Arial Unicode MS"/>
          <w:b/>
          <w:sz w:val="24"/>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Style14"/>
          <w:rStyle w:val="Style14"/>
          <w:rFonts w:eastAsia="Arial Unicode MS" w:cs="Calibri"/>
          <w:b/>
          <w:sz w:val="24"/>
          <w:lang w:val="el-GR"/>
        </w:rPr>
        <w:footnoteReference w:id="30"/>
      </w:r>
      <w:r>
        <w:rPr>
          <w:rFonts w:eastAsia="Arial Unicode MS"/>
          <w:b/>
          <w:sz w:val="24"/>
          <w:lang w:val="el-GR"/>
        </w:rPr>
        <w:t>.</w:t>
      </w:r>
    </w:p>
    <w:p>
      <w:pPr>
        <w:pStyle w:val="Normal"/>
        <w:spacing w:lineRule="auto" w:line="276" w:before="0" w:after="0"/>
        <w:rPr/>
      </w:pPr>
      <w:r>
        <w:rPr>
          <w:rFonts w:eastAsia="Arial Unicode MS"/>
          <w:sz w:val="24"/>
          <w:lang w:val="el-GR"/>
        </w:rPr>
        <w:t>Ο οικονομικός φορέας φέρει την ειδική υποχρέωση, να δηλώσει, μέσω του ΕΕΕΣ,</w:t>
      </w:r>
      <w:r>
        <w:rPr>
          <w:rStyle w:val="Style14"/>
          <w:rStyle w:val="Style14"/>
          <w:rFonts w:eastAsia="Arial Unicode MS" w:cs="Calibri"/>
          <w:sz w:val="24"/>
          <w:lang w:val="el-GR"/>
        </w:rPr>
        <w:footnoteReference w:id="31"/>
      </w:r>
      <w:r>
        <w:rPr>
          <w:rFonts w:eastAsia="Arial Unicode MS"/>
          <w:sz w:val="24"/>
          <w:lang w:val="el-GR"/>
        </w:rPr>
        <w:t xml:space="preserve"> την κατάστασή του σε σχέση με τους λόγους που προβλέπονται στο άρθρο 73 του ν. 4412/2016 και παραγράφου 2.2.3 της παρούσης</w:t>
      </w:r>
      <w:r>
        <w:rPr>
          <w:rStyle w:val="Style14"/>
          <w:rStyle w:val="Style14"/>
          <w:rFonts w:eastAsia="Arial Unicode MS" w:cs="Calibri"/>
          <w:sz w:val="24"/>
          <w:lang w:val="el-GR"/>
        </w:rPr>
        <w:footnoteReference w:id="32"/>
      </w:r>
      <w:r>
        <w:rPr>
          <w:rFonts w:eastAsia="Arial Unicode MS"/>
          <w:sz w:val="24"/>
          <w:lang w:val="el-GR"/>
        </w:rPr>
        <w:t xml:space="preserve"> και ταυτόχρονα να επικαλεσθεί και τυχόν ληφθέντα μέτρα προς αποκατάσταση της αξιοπιστίας του.</w:t>
      </w:r>
    </w:p>
    <w:p>
      <w:pPr>
        <w:pStyle w:val="Normal"/>
        <w:spacing w:lineRule="auto" w:line="276" w:before="0" w:after="0"/>
        <w:rPr/>
      </w:pPr>
      <w:r>
        <w:rPr>
          <w:rFonts w:eastAsia="Arial Unicode MS"/>
          <w:sz w:val="24"/>
          <w:lang w:val="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r>
        <w:rPr>
          <w:rStyle w:val="Style14"/>
          <w:rStyle w:val="Style14"/>
          <w:rFonts w:eastAsia="Arial Unicode MS" w:cs="Calibri"/>
          <w:sz w:val="24"/>
          <w:lang w:val="el-GR"/>
        </w:rPr>
        <w:footnoteReference w:id="33"/>
      </w:r>
      <w:r>
        <w:rPr>
          <w:rFonts w:eastAsia="Arial Unicode MS"/>
          <w:sz w:val="24"/>
          <w:lang w:val="el-GR"/>
        </w:rPr>
        <w:t>.</w:t>
      </w:r>
    </w:p>
    <w:p>
      <w:pPr>
        <w:pStyle w:val="Normal"/>
        <w:spacing w:lineRule="auto" w:line="276" w:before="0" w:after="0"/>
        <w:rPr/>
      </w:pPr>
      <w:r>
        <w:rPr>
          <w:rFonts w:eastAsia="Arial Unicode MS"/>
          <w:sz w:val="24"/>
          <w:lang w:val="el-GR"/>
        </w:rPr>
        <w:t>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Pr>
          <w:rStyle w:val="Style14"/>
          <w:rStyle w:val="Style14"/>
          <w:rFonts w:eastAsia="Arial Unicode MS" w:cs="Calibri"/>
          <w:sz w:val="24"/>
          <w:lang w:val="el-GR"/>
        </w:rPr>
        <w:footnoteReference w:id="34"/>
      </w:r>
      <w:r>
        <w:rPr>
          <w:rFonts w:eastAsia="Arial Unicode MS"/>
          <w:sz w:val="24"/>
          <w:lang w:val="el-GR"/>
        </w:rPr>
        <w:t>.</w:t>
      </w:r>
    </w:p>
    <w:p>
      <w:pPr>
        <w:pStyle w:val="Normal"/>
        <w:spacing w:lineRule="auto" w:line="276" w:before="0" w:after="0"/>
        <w:rPr>
          <w:rFonts w:eastAsia="Arial Unicode MS"/>
          <w:b/>
          <w:b/>
          <w:sz w:val="24"/>
          <w:lang w:val="el-GR"/>
        </w:rPr>
      </w:pPr>
      <w:r>
        <w:rPr>
          <w:rFonts w:eastAsia="Arial Unicode MS"/>
          <w:b/>
          <w:sz w:val="24"/>
          <w:lang w:val="el-GR"/>
        </w:rPr>
      </w:r>
    </w:p>
    <w:p>
      <w:pPr>
        <w:pStyle w:val="4"/>
        <w:spacing w:lineRule="auto" w:line="276" w:before="0" w:after="0"/>
        <w:ind w:left="207" w:right="0" w:hanging="567"/>
        <w:rPr>
          <w:rFonts w:ascii="Calibri" w:hAnsi="Calibri" w:eastAsia="Arial Unicode MS" w:cs="Calibri"/>
          <w:sz w:val="24"/>
          <w:szCs w:val="24"/>
          <w:lang w:val="el-GR"/>
        </w:rPr>
      </w:pPr>
      <w:bookmarkStart w:id="83" w:name="_Toc492539460"/>
      <w:r>
        <w:rPr>
          <w:rFonts w:eastAsia="Arial Unicode MS" w:cs="Calibri" w:ascii="Calibri" w:hAnsi="Calibri"/>
          <w:sz w:val="24"/>
          <w:szCs w:val="24"/>
          <w:lang w:val="el-GR"/>
        </w:rPr>
        <w:t xml:space="preserve">      </w:t>
      </w:r>
      <w:r>
        <w:rPr>
          <w:rFonts w:eastAsia="Arial Unicode MS" w:cs="Calibri" w:ascii="Calibri" w:hAnsi="Calibri"/>
          <w:sz w:val="24"/>
          <w:szCs w:val="24"/>
          <w:lang w:val="el-GR"/>
        </w:rPr>
        <w:t>2.2.9.2 Αποδεικτικά μέσα</w:t>
      </w:r>
      <w:bookmarkEnd w:id="83"/>
    </w:p>
    <w:p>
      <w:pPr>
        <w:pStyle w:val="Normal"/>
        <w:spacing w:lineRule="auto" w:line="276" w:before="0" w:after="0"/>
        <w:rPr/>
      </w:pPr>
      <w:r>
        <w:rPr>
          <w:rFonts w:eastAsia="Arial Unicode MS"/>
          <w:b/>
          <w:bCs/>
          <w:sz w:val="24"/>
          <w:lang w:val="el-GR"/>
        </w:rPr>
        <w:t>Α.</w:t>
      </w:r>
      <w:r>
        <w:rPr>
          <w:rFonts w:eastAsia="Arial Unicode MS"/>
          <w:sz w:val="24"/>
          <w:lang w:val="el-GR"/>
        </w:rPr>
        <w:t xml:space="preserve"> </w:t>
      </w:r>
      <w:r>
        <w:rPr>
          <w:rFonts w:eastAsia="Arial Unicode MS"/>
          <w:bCs/>
          <w:sz w:val="24"/>
          <w:lang w:val="el-GR"/>
        </w:rPr>
        <w:t xml:space="preserve">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w:t>
      </w:r>
      <w:r>
        <w:rPr>
          <w:rFonts w:eastAsia="Arial Unicode MS"/>
          <w:b/>
          <w:bCs/>
          <w:sz w:val="24"/>
          <w:lang w:val="el-GR"/>
        </w:rPr>
        <w:t>Η προσκόμιση των εν λόγω δικαιολογητικών γίνεται κατά τα οριζόμενα στην παράγραφο 3.2 από τον προσωρινό ανάδοχο</w:t>
      </w:r>
      <w:r>
        <w:rPr>
          <w:rFonts w:eastAsia="Arial Unicode MS"/>
          <w:bCs/>
          <w:sz w:val="24"/>
          <w:lang w:val="el-GR"/>
        </w:rPr>
        <w:t>.</w:t>
      </w:r>
      <w:r>
        <w:rPr>
          <w:rFonts w:eastAsia="Arial Unicode MS"/>
          <w:sz w:val="24"/>
          <w:lang w:val="el-GR"/>
        </w:rPr>
        <w:t xml:space="preserve"> </w:t>
      </w:r>
      <w:r>
        <w:rPr>
          <w:rFonts w:eastAsia="Arial Unicode MS"/>
          <w:bCs/>
          <w:sz w:val="24"/>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pPr>
        <w:pStyle w:val="Normal"/>
        <w:spacing w:lineRule="auto" w:line="276" w:before="0" w:after="0"/>
        <w:rPr>
          <w:rFonts w:eastAsia="Arial Unicode MS"/>
          <w:bCs/>
          <w:sz w:val="24"/>
          <w:lang w:val="el-GR"/>
        </w:rPr>
      </w:pPr>
      <w:r>
        <w:rPr>
          <w:rFonts w:eastAsia="Arial Unicode MS"/>
          <w:bCs/>
          <w:sz w:val="24"/>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pPr>
        <w:pStyle w:val="Normal"/>
        <w:spacing w:lineRule="auto" w:line="276" w:before="120" w:after="0"/>
        <w:rPr/>
      </w:pPr>
      <w:r>
        <w:rPr>
          <w:rFonts w:eastAsia="Arial Unicode MS"/>
          <w:bCs/>
          <w:sz w:val="24"/>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Style14"/>
          <w:rStyle w:val="Style14"/>
          <w:rFonts w:eastAsia="Arial Unicode MS" w:cs="Calibri"/>
          <w:bCs/>
          <w:sz w:val="24"/>
          <w:lang w:val="el-GR"/>
        </w:rPr>
        <w:footnoteReference w:id="35"/>
      </w:r>
      <w:r>
        <w:rPr>
          <w:rFonts w:eastAsia="Arial Unicode MS"/>
          <w:bCs/>
          <w:sz w:val="24"/>
          <w:lang w:val="el-GR"/>
        </w:rPr>
        <w:t xml:space="preserve">. </w:t>
      </w:r>
    </w:p>
    <w:p>
      <w:pPr>
        <w:pStyle w:val="Normal"/>
        <w:spacing w:lineRule="auto" w:line="276" w:before="120" w:after="0"/>
        <w:rPr>
          <w:rFonts w:eastAsia="Arial Unicode MS"/>
          <w:bCs/>
          <w:sz w:val="24"/>
          <w:lang w:val="el-GR"/>
        </w:rPr>
      </w:pPr>
      <w:r>
        <w:rPr>
          <w:rFonts w:eastAsia="Arial Unicode MS"/>
          <w:bCs/>
          <w:sz w:val="24"/>
          <w:lang w:val="el-GR"/>
        </w:rPr>
        <w:t>Τα δικαιολογητικά του παρόντος υποβάλλονται και γίνονται αποδεκτά σύμφωνα με την παράγραφο 2.4.2.5 και 3.2 της παρούσας.</w:t>
      </w:r>
    </w:p>
    <w:p>
      <w:pPr>
        <w:pStyle w:val="Normal"/>
        <w:spacing w:lineRule="auto" w:line="276" w:before="0" w:after="63"/>
        <w:contextualSpacing/>
        <w:rPr>
          <w:rFonts w:eastAsia="Arial Unicode MS"/>
          <w:sz w:val="24"/>
          <w:lang w:val="el-GR"/>
        </w:rPr>
      </w:pPr>
      <w:r>
        <w:rPr>
          <w:rFonts w:eastAsia="Arial Unicode MS"/>
          <w:sz w:val="24"/>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pPr>
        <w:pStyle w:val="Normal"/>
        <w:spacing w:lineRule="auto" w:line="276" w:before="0" w:after="120"/>
        <w:contextualSpacing/>
        <w:rPr/>
      </w:pPr>
      <w:r>
        <w:rPr>
          <w:rFonts w:eastAsia="Arial Unicode MS"/>
          <w:b/>
          <w:bCs/>
          <w:sz w:val="24"/>
          <w:lang w:val="el-GR"/>
        </w:rPr>
        <w:t>Β.</w:t>
      </w:r>
      <w:r>
        <w:rPr>
          <w:rFonts w:eastAsia="Arial Unicode MS"/>
          <w:b/>
          <w:sz w:val="24"/>
          <w:lang w:val="el-GR"/>
        </w:rPr>
        <w:t>1.</w:t>
      </w:r>
      <w:r>
        <w:rPr>
          <w:rFonts w:eastAsia="Arial Unicode MS"/>
          <w:sz w:val="24"/>
          <w:lang w:val="el-GR"/>
        </w:rPr>
        <w:t xml:space="preserve"> </w:t>
      </w:r>
      <w:r>
        <w:rPr>
          <w:rFonts w:eastAsia="Arial Unicode MS"/>
          <w:b/>
          <w:sz w:val="24"/>
          <w:lang w:val="el-GR"/>
        </w:rPr>
        <w:t>Για την απόδειξη της μη συνδρομής των λόγων αποκλεισμού</w:t>
      </w:r>
      <w:r>
        <w:rPr>
          <w:rFonts w:eastAsia="Arial Unicode MS"/>
          <w:sz w:val="24"/>
          <w:lang w:val="el-GR"/>
        </w:rPr>
        <w:t xml:space="preserve"> της παραγράφου </w:t>
      </w:r>
      <w:r>
        <w:rPr>
          <w:rFonts w:eastAsia="Arial Unicode MS"/>
          <w:b/>
          <w:sz w:val="24"/>
          <w:lang w:val="el-GR"/>
        </w:rPr>
        <w:t>2.2.3</w:t>
      </w:r>
      <w:r>
        <w:rPr>
          <w:rFonts w:eastAsia="Arial Unicode MS"/>
          <w:sz w:val="24"/>
          <w:lang w:val="el-GR"/>
        </w:rPr>
        <w:t xml:space="preserve"> οι προσφέροντες οικονομικοί φορείς προσκομίζουν αντίστοιχα δικαιολογητικά</w:t>
      </w:r>
      <w:r>
        <w:rPr>
          <w:rStyle w:val="Style14"/>
          <w:rStyle w:val="Style14"/>
          <w:rFonts w:eastAsia="Arial Unicode MS" w:cs="Calibri"/>
          <w:sz w:val="24"/>
          <w:lang w:val="el-GR"/>
        </w:rPr>
        <w:footnoteReference w:id="36"/>
      </w:r>
      <w:r>
        <w:rPr>
          <w:rFonts w:eastAsia="Arial Unicode MS"/>
          <w:sz w:val="24"/>
          <w:lang w:val="el-GR"/>
        </w:rPr>
        <w:t xml:space="preserve"> που αναφέρονται παρακάτω:</w:t>
      </w:r>
    </w:p>
    <w:p>
      <w:pPr>
        <w:pStyle w:val="Normal"/>
        <w:spacing w:lineRule="auto" w:line="276" w:before="120" w:after="120"/>
        <w:rPr>
          <w:rFonts w:eastAsia="Arial Unicode MS"/>
          <w:sz w:val="24"/>
          <w:lang w:val="el-GR"/>
        </w:rPr>
      </w:pPr>
      <w:r>
        <w:rPr>
          <w:rFonts w:eastAsia="Arial Unicode MS"/>
          <w:sz w:val="24"/>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pPr>
        <w:pStyle w:val="Normal"/>
        <w:spacing w:lineRule="auto" w:line="276" w:before="120" w:after="0"/>
        <w:rPr/>
      </w:pPr>
      <w:r>
        <w:rPr>
          <w:rFonts w:eastAsia="Arial Unicode MS"/>
          <w:sz w:val="24"/>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rFonts w:eastAsia="Arial Unicode MS"/>
          <w:sz w:val="24"/>
          <w:lang w:val="en-US"/>
        </w:rPr>
        <w:t>e</w:t>
      </w:r>
      <w:r>
        <w:rPr>
          <w:rFonts w:eastAsia="Arial Unicode MS"/>
          <w:sz w:val="24"/>
          <w:lang w:val="el-GR"/>
        </w:rPr>
        <w:t>-</w:t>
      </w:r>
      <w:r>
        <w:rPr>
          <w:rFonts w:eastAsia="Arial Unicode MS"/>
          <w:sz w:val="24"/>
          <w:lang w:val="en-US"/>
        </w:rPr>
        <w:t>Certis</w:t>
      </w:r>
      <w:r>
        <w:rPr>
          <w:rFonts w:eastAsia="Arial Unicode MS"/>
          <w:sz w:val="24"/>
          <w:lang w:val="el-GR"/>
        </w:rPr>
        <w:t>) του άρθρου 81 του ν. 4412/2016.</w:t>
      </w:r>
    </w:p>
    <w:p>
      <w:pPr>
        <w:pStyle w:val="Normal"/>
        <w:spacing w:lineRule="auto" w:line="276" w:before="120" w:after="0"/>
        <w:rPr>
          <w:rFonts w:eastAsia="Arial Unicode MS"/>
          <w:b/>
          <w:b/>
          <w:color w:val="000000"/>
          <w:sz w:val="24"/>
          <w:u w:val="single"/>
          <w:lang w:val="el-GR"/>
        </w:rPr>
      </w:pPr>
      <w:r>
        <w:rPr>
          <w:rFonts w:eastAsia="Arial Unicode MS"/>
          <w:b/>
          <w:color w:val="000000"/>
          <w:sz w:val="24"/>
          <w:u w:val="single"/>
          <w:lang w:val="el-GR"/>
        </w:rPr>
        <w:t>Ειδικότερα οι οικονομικοί φορείς προσκομίζουν:</w:t>
      </w:r>
    </w:p>
    <w:p>
      <w:pPr>
        <w:pStyle w:val="Normal"/>
        <w:suppressAutoHyphens w:val="false"/>
        <w:spacing w:lineRule="auto" w:line="276" w:before="0" w:after="0"/>
        <w:rPr/>
      </w:pPr>
      <w:r>
        <w:rPr>
          <w:rFonts w:eastAsia="Arial Unicode MS"/>
          <w:b/>
          <w:bCs/>
          <w:sz w:val="24"/>
          <w:lang w:val="el-GR"/>
        </w:rPr>
        <w:t>α)</w:t>
      </w:r>
      <w:r>
        <w:rPr>
          <w:rFonts w:eastAsia="Arial Unicode MS"/>
          <w:sz w:val="24"/>
          <w:lang w:val="el-GR"/>
        </w:rPr>
        <w:t xml:space="preserve"> για την παράγραφο </w:t>
      </w:r>
      <w:r>
        <w:rPr>
          <w:rFonts w:eastAsia="Arial Unicode MS"/>
          <w:b/>
          <w:sz w:val="24"/>
          <w:lang w:val="el-GR"/>
        </w:rPr>
        <w:t>2.2.3.1 απόσπασμα του σχετικού μητρώου</w:t>
      </w:r>
      <w:r>
        <w:rPr>
          <w:rFonts w:eastAsia="Arial Unicode MS"/>
          <w:sz w:val="24"/>
          <w:lang w:val="el-GR"/>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Pr>
          <w:rFonts w:eastAsia="Arial Unicode MS"/>
          <w:b/>
          <w:sz w:val="24"/>
          <w:lang w:val="el-GR"/>
        </w:rPr>
        <w:t xml:space="preserve">που να έχει εκδοθεί έως τρεις (3) μήνες πριν από την </w:t>
      </w:r>
      <w:r>
        <w:rPr>
          <w:rFonts w:eastAsia="Arial Unicode MS"/>
          <w:b/>
          <w:color w:val="000000"/>
          <w:sz w:val="24"/>
          <w:lang w:val="el-GR"/>
        </w:rPr>
        <w:t>υποβολή του</w:t>
      </w:r>
      <w:r>
        <w:rPr>
          <w:rStyle w:val="Style14"/>
          <w:rStyle w:val="Style14"/>
          <w:rFonts w:eastAsia="Arial Unicode MS" w:cs="Calibri"/>
          <w:b/>
          <w:color w:val="000000"/>
          <w:sz w:val="24"/>
          <w:lang w:val="el-GR"/>
        </w:rPr>
        <w:footnoteReference w:id="37"/>
      </w:r>
      <w:r>
        <w:rPr>
          <w:rFonts w:eastAsia="Arial Unicode MS"/>
          <w:b/>
          <w:color w:val="000000"/>
          <w:sz w:val="24"/>
          <w:lang w:val="el-GR"/>
        </w:rPr>
        <w:t xml:space="preserve">. </w:t>
      </w:r>
    </w:p>
    <w:p>
      <w:pPr>
        <w:pStyle w:val="Normal"/>
        <w:spacing w:lineRule="auto" w:line="276" w:before="0" w:after="0"/>
        <w:rPr>
          <w:rFonts w:eastAsia="Arial Unicode MS"/>
          <w:sz w:val="24"/>
          <w:lang w:val="el-GR"/>
        </w:rPr>
      </w:pPr>
      <w:r>
        <w:rPr>
          <w:rFonts w:eastAsia="Arial Unicode MS"/>
          <w:sz w:val="24"/>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pPr>
        <w:pStyle w:val="Normal"/>
        <w:spacing w:lineRule="auto" w:line="276" w:before="0" w:after="240"/>
        <w:rPr/>
      </w:pPr>
      <w:r>
        <w:rPr>
          <w:rFonts w:eastAsia="Arial Unicode MS"/>
          <w:b/>
          <w:bCs/>
          <w:sz w:val="24"/>
          <w:lang w:val="el-GR"/>
        </w:rPr>
        <w:t>β)</w:t>
      </w:r>
      <w:r>
        <w:rPr>
          <w:rFonts w:eastAsia="Arial Unicode MS"/>
          <w:sz w:val="24"/>
          <w:lang w:val="el-GR"/>
        </w:rPr>
        <w:t xml:space="preserve"> για την παράγραφο </w:t>
      </w:r>
      <w:r>
        <w:rPr>
          <w:rFonts w:eastAsia="Arial Unicode MS"/>
          <w:b/>
          <w:sz w:val="24"/>
          <w:lang w:val="el-GR"/>
        </w:rPr>
        <w:t>2.2.3.2</w:t>
      </w:r>
      <w:r>
        <w:rPr>
          <w:rFonts w:eastAsia="Arial Unicode MS"/>
          <w:sz w:val="24"/>
          <w:lang w:val="el-GR"/>
        </w:rPr>
        <w:t xml:space="preserve"> πιστοποιητικό που εκδίδεται από την αρμόδια αρχή του οικείου κράτους - μέλους ή χώρας </w:t>
      </w:r>
      <w:r>
        <w:rPr>
          <w:rFonts w:eastAsia="Arial Unicode MS"/>
          <w:color w:val="000000"/>
          <w:sz w:val="24"/>
          <w:lang w:val="el-GR"/>
        </w:rPr>
        <w:t xml:space="preserve">που να είναι εν ισχύ κατά το χρόνο υποβολής του, άλλως, στην περίπτωση που δεν αναφέρεται σε αυτό χρόνος ισχύος, </w:t>
      </w:r>
      <w:r>
        <w:rPr>
          <w:rFonts w:eastAsia="Arial Unicode MS"/>
          <w:b/>
          <w:color w:val="000000"/>
          <w:sz w:val="24"/>
          <w:lang w:val="el-GR"/>
        </w:rPr>
        <w:t>που να έχει εκδοθεί έως τρεις (3) μήνες πριν από την υποβολή του</w:t>
      </w:r>
      <w:r>
        <w:rPr>
          <w:rStyle w:val="Style14"/>
          <w:rStyle w:val="Style14"/>
          <w:rFonts w:eastAsia="Arial Unicode MS" w:cs="Calibri"/>
          <w:b/>
          <w:color w:val="000000"/>
          <w:sz w:val="24"/>
          <w:lang w:val="el-GR"/>
        </w:rPr>
        <w:footnoteReference w:id="38"/>
      </w:r>
      <w:r>
        <w:rPr>
          <w:rFonts w:eastAsia="Arial Unicode MS"/>
          <w:b/>
          <w:color w:val="000000"/>
          <w:sz w:val="24"/>
          <w:lang w:val="el-GR"/>
        </w:rPr>
        <w:t xml:space="preserve">.  </w:t>
      </w:r>
    </w:p>
    <w:p>
      <w:pPr>
        <w:pStyle w:val="Normal"/>
        <w:spacing w:lineRule="auto" w:line="276" w:before="120" w:after="120"/>
        <w:rPr/>
      </w:pPr>
      <w:r>
        <w:rPr>
          <w:rFonts w:eastAsia="Arial Unicode MS"/>
          <w:color w:val="000000"/>
          <w:sz w:val="24"/>
          <w:lang w:val="el-GR"/>
        </w:rPr>
        <w:t xml:space="preserve">Ιδίως οι οικονομικοί φορείς που είναι </w:t>
      </w:r>
      <w:r>
        <w:rPr>
          <w:rFonts w:eastAsia="Arial Unicode MS"/>
          <w:b/>
          <w:color w:val="000000"/>
          <w:sz w:val="24"/>
          <w:lang w:val="el-GR"/>
        </w:rPr>
        <w:t>εγκατεστημένοι στην Ελλάδα προσκομίζουν</w:t>
      </w:r>
      <w:r>
        <w:rPr>
          <w:rFonts w:eastAsia="Arial Unicode MS"/>
          <w:color w:val="000000"/>
          <w:sz w:val="24"/>
          <w:lang w:val="el-GR"/>
        </w:rPr>
        <w:t>:</w:t>
      </w:r>
    </w:p>
    <w:p>
      <w:pPr>
        <w:pStyle w:val="Normal"/>
        <w:spacing w:lineRule="auto" w:line="276" w:before="0" w:after="120"/>
        <w:contextualSpacing/>
        <w:rPr/>
      </w:pPr>
      <w:r>
        <w:rPr>
          <w:rFonts w:eastAsia="Arial Unicode MS"/>
          <w:b/>
          <w:bCs/>
          <w:color w:val="000000"/>
          <w:sz w:val="24"/>
          <w:lang w:val="en-US"/>
        </w:rPr>
        <w:t>i</w:t>
      </w:r>
      <w:r>
        <w:rPr>
          <w:rFonts w:eastAsia="Arial Unicode MS"/>
          <w:b/>
          <w:bCs/>
          <w:color w:val="000000"/>
          <w:sz w:val="24"/>
          <w:lang w:val="el-GR"/>
        </w:rPr>
        <w:t xml:space="preserve">) </w:t>
      </w:r>
      <w:r>
        <w:rPr>
          <w:rFonts w:eastAsia="Arial Unicode MS"/>
          <w:color w:val="000000"/>
          <w:sz w:val="24"/>
          <w:lang w:val="el-GR"/>
        </w:rPr>
        <w:t>Για την απόδειξη της εκπλήρωσης των φορολογικών υποχρεώσεων της παραγράφου</w:t>
      </w:r>
      <w:r>
        <w:rPr>
          <w:rFonts w:eastAsia="Arial Unicode MS"/>
          <w:color w:val="000000"/>
          <w:sz w:val="24"/>
          <w:u w:val="single"/>
          <w:lang w:val="el-GR"/>
        </w:rPr>
        <w:t xml:space="preserve"> 2.2.3.2 περίπτωση α’</w:t>
      </w:r>
      <w:r>
        <w:rPr>
          <w:rFonts w:eastAsia="Arial Unicode MS"/>
          <w:color w:val="000000"/>
          <w:sz w:val="24"/>
          <w:lang w:val="el-GR"/>
        </w:rPr>
        <w:t xml:space="preserve"> </w:t>
      </w:r>
      <w:r>
        <w:rPr>
          <w:rFonts w:eastAsia="Arial Unicode MS"/>
          <w:b/>
          <w:color w:val="000000"/>
          <w:sz w:val="24"/>
          <w:lang w:val="el-GR"/>
        </w:rPr>
        <w:t>αποδεικτικό ενημερότητας εκδιδόμενο από την Α.Α.Δ.Ε.</w:t>
      </w:r>
    </w:p>
    <w:p>
      <w:pPr>
        <w:pStyle w:val="Normal"/>
        <w:spacing w:lineRule="auto" w:line="276" w:before="0" w:after="0"/>
        <w:contextualSpacing/>
        <w:rPr/>
      </w:pPr>
      <w:r>
        <w:rPr>
          <w:rFonts w:eastAsia="Arial Unicode MS"/>
          <w:b/>
          <w:bCs/>
          <w:color w:val="000000"/>
          <w:sz w:val="24"/>
          <w:lang w:val="en-US"/>
        </w:rPr>
        <w:t>ii</w:t>
      </w:r>
      <w:r>
        <w:rPr>
          <w:rFonts w:eastAsia="Arial Unicode MS"/>
          <w:b/>
          <w:bCs/>
          <w:color w:val="000000"/>
          <w:sz w:val="24"/>
          <w:lang w:val="el-GR"/>
        </w:rPr>
        <w:t xml:space="preserve">) </w:t>
      </w:r>
      <w:r>
        <w:rPr>
          <w:rFonts w:eastAsia="Arial Unicode MS"/>
          <w:color w:val="000000"/>
          <w:sz w:val="24"/>
          <w:lang w:val="el-GR"/>
        </w:rPr>
        <w:t xml:space="preserve">Για την απόδειξη της εκπλήρωσης των υποχρεώσεων προς τους οργανισμούς κοινωνικής ασφάλισης της παραγράφου </w:t>
      </w:r>
      <w:r>
        <w:rPr>
          <w:rFonts w:eastAsia="Arial Unicode MS"/>
          <w:color w:val="000000"/>
          <w:sz w:val="24"/>
          <w:u w:val="single"/>
          <w:lang w:val="el-GR"/>
        </w:rPr>
        <w:t>2.2.3.2 περίπτωση α</w:t>
      </w:r>
      <w:r>
        <w:rPr>
          <w:rFonts w:eastAsia="Arial Unicode MS"/>
          <w:color w:val="000000"/>
          <w:sz w:val="24"/>
          <w:lang w:val="el-GR"/>
        </w:rPr>
        <w:t xml:space="preserve">’ </w:t>
      </w:r>
      <w:r>
        <w:rPr>
          <w:rFonts w:eastAsia="Arial Unicode MS"/>
          <w:b/>
          <w:color w:val="000000"/>
          <w:sz w:val="24"/>
          <w:lang w:val="el-GR"/>
        </w:rPr>
        <w:t xml:space="preserve">πιστοποιητικό εκδιδόμενο από τον </w:t>
      </w:r>
      <w:r>
        <w:rPr>
          <w:rFonts w:eastAsia="Arial Unicode MS"/>
          <w:b/>
          <w:color w:val="000000"/>
          <w:sz w:val="24"/>
          <w:lang w:val="en-US"/>
        </w:rPr>
        <w:t>e</w:t>
      </w:r>
      <w:r>
        <w:rPr>
          <w:rFonts w:eastAsia="Arial Unicode MS"/>
          <w:b/>
          <w:color w:val="000000"/>
          <w:sz w:val="24"/>
          <w:lang w:val="el-GR"/>
        </w:rPr>
        <w:t>-ΕΦΚΑ.</w:t>
      </w:r>
    </w:p>
    <w:p>
      <w:pPr>
        <w:pStyle w:val="Normal"/>
        <w:spacing w:lineRule="auto" w:line="276" w:before="0" w:after="0"/>
        <w:contextualSpacing/>
        <w:rPr/>
      </w:pPr>
      <w:r>
        <w:rPr>
          <w:sz w:val="24"/>
          <w:u w:val="single"/>
          <w:lang w:val="el-GR"/>
        </w:rPr>
        <w:t>Επιπλέον προσκομίζεται υπεύθυνη δήλωση</w:t>
      </w:r>
      <w:r>
        <w:rPr>
          <w:sz w:val="24"/>
          <w:lang w:val="el-GR"/>
        </w:rPr>
        <w:t xml:space="preserve"> του οικονομικού φορέα αναφορικά με τους οργανισμούς κοινωνικής ασφάλισης (στην περίπτωση που ο οικονομικός φορέας έχει την εγκατάστασή του στην Ελλάδα αφορά Οργανισμούς κύριας και επικουρικής ασφάλισης) στους οποίους οφείλει να καταβάλει εισφορές</w:t>
      </w:r>
      <w:r>
        <w:rPr>
          <w:rFonts w:eastAsia="Arial Unicode MS"/>
          <w:color w:val="000000"/>
          <w:sz w:val="24"/>
          <w:lang w:val="el-GR"/>
        </w:rPr>
        <w:t>.</w:t>
      </w:r>
    </w:p>
    <w:p>
      <w:pPr>
        <w:pStyle w:val="Normal"/>
        <w:spacing w:lineRule="auto" w:line="276"/>
        <w:rPr/>
      </w:pPr>
      <w:r>
        <w:rPr>
          <w:rFonts w:eastAsia="Arial Unicode MS"/>
          <w:b/>
          <w:bCs/>
          <w:color w:val="000000"/>
          <w:sz w:val="24"/>
          <w:lang w:val="en-US"/>
        </w:rPr>
        <w:t>iii</w:t>
      </w:r>
      <w:r>
        <w:rPr>
          <w:rFonts w:eastAsia="Arial Unicode MS"/>
          <w:b/>
          <w:bCs/>
          <w:color w:val="000000"/>
          <w:sz w:val="24"/>
          <w:lang w:val="el-GR"/>
        </w:rPr>
        <w:t xml:space="preserve">) </w:t>
      </w:r>
      <w:r>
        <w:rPr>
          <w:rFonts w:eastAsia="Arial Unicode MS"/>
          <w:color w:val="000000"/>
          <w:sz w:val="24"/>
          <w:lang w:val="el-GR"/>
        </w:rPr>
        <w:t xml:space="preserve">Για την παράγραφο </w:t>
      </w:r>
      <w:r>
        <w:rPr>
          <w:rFonts w:eastAsia="Arial Unicode MS"/>
          <w:color w:val="000000"/>
          <w:sz w:val="24"/>
          <w:u w:val="single"/>
          <w:lang w:val="el-GR"/>
        </w:rPr>
        <w:t>2.2.3.2 περίπτωση α’</w:t>
      </w:r>
      <w:r>
        <w:rPr>
          <w:rFonts w:eastAsia="Arial Unicode MS"/>
          <w:color w:val="000000"/>
          <w:sz w:val="24"/>
          <w:lang w:val="el-GR"/>
        </w:rPr>
        <w:t xml:space="preserve">, πλέον των ως άνω πιστοποιητικών, </w:t>
      </w:r>
      <w:r>
        <w:rPr>
          <w:rFonts w:eastAsia="Arial Unicode MS"/>
          <w:b/>
          <w:color w:val="000000"/>
          <w:sz w:val="24"/>
          <w:lang w:val="el-GR"/>
        </w:rPr>
        <w:t>υπεύθυνη δήλωση</w:t>
      </w:r>
      <w:r>
        <w:rPr>
          <w:rFonts w:eastAsia="Arial Unicode MS"/>
          <w:color w:val="000000"/>
          <w:sz w:val="24"/>
          <w:lang w:val="el-GR"/>
        </w:rPr>
        <w:t xml:space="preserve">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pPr>
        <w:pStyle w:val="Normal"/>
        <w:spacing w:lineRule="auto" w:line="276"/>
        <w:rPr/>
      </w:pPr>
      <w:r>
        <w:rPr>
          <w:rFonts w:eastAsia="Arial Unicode MS"/>
          <w:b/>
          <w:sz w:val="24"/>
          <w:lang w:val="el-GR"/>
        </w:rPr>
        <w:t xml:space="preserve">γ) </w:t>
      </w:r>
      <w:r>
        <w:rPr>
          <w:rFonts w:eastAsia="Arial Unicode MS"/>
          <w:color w:val="000000"/>
          <w:sz w:val="24"/>
          <w:lang w:val="el-GR"/>
        </w:rPr>
        <w:t xml:space="preserve">για την παράγραφο </w:t>
      </w:r>
      <w:r>
        <w:rPr>
          <w:rFonts w:eastAsia="Arial Unicode MS"/>
          <w:b/>
          <w:color w:val="000000"/>
          <w:sz w:val="24"/>
          <w:lang w:val="el-GR"/>
        </w:rPr>
        <w:t>2.2.3.4</w:t>
      </w:r>
      <w:r>
        <w:rPr>
          <w:rStyle w:val="Style14"/>
          <w:rStyle w:val="Style14"/>
          <w:rFonts w:eastAsia="Arial Unicode MS" w:cs="Calibri"/>
          <w:color w:val="000000"/>
          <w:sz w:val="24"/>
          <w:lang w:val="el-GR"/>
        </w:rPr>
        <w:footnoteReference w:id="39"/>
      </w:r>
      <w:r>
        <w:rPr>
          <w:rFonts w:eastAsia="Arial Unicode MS"/>
          <w:color w:val="000000"/>
          <w:sz w:val="24"/>
          <w:lang w:val="el-GR"/>
        </w:rPr>
        <w:t xml:space="preserve"> </w:t>
      </w:r>
      <w:r>
        <w:rPr>
          <w:rFonts w:eastAsia="Arial Unicode MS"/>
          <w:color w:val="000000"/>
          <w:sz w:val="24"/>
          <w:u w:val="single"/>
          <w:lang w:val="el-GR"/>
        </w:rPr>
        <w:t>περίπτωση β</w:t>
      </w:r>
      <w:r>
        <w:rPr>
          <w:rFonts w:eastAsia="Arial Unicode MS"/>
          <w:b/>
          <w:color w:val="000000"/>
          <w:sz w:val="24"/>
          <w:u w:val="single"/>
          <w:lang w:val="el-GR"/>
        </w:rPr>
        <w:t>΄, πιστοποιητικό που εκδίδεται από την αρμόδια αρχή</w:t>
      </w:r>
      <w:r>
        <w:rPr>
          <w:rFonts w:eastAsia="Arial Unicode MS"/>
          <w:color w:val="000000"/>
          <w:sz w:val="24"/>
          <w:lang w:val="el-GR"/>
        </w:rPr>
        <w:t xml:space="preserve"> του οικείου κράτους - μέλους ή χώρας, που να έχει εκδοθεί </w:t>
      </w:r>
      <w:r>
        <w:rPr>
          <w:rFonts w:eastAsia="Arial Unicode MS"/>
          <w:b/>
          <w:color w:val="000000"/>
          <w:sz w:val="24"/>
          <w:lang w:val="el-GR"/>
        </w:rPr>
        <w:t>έως τρεις (3) μήνες πριν από την υποβολή του</w:t>
      </w:r>
      <w:r>
        <w:rPr>
          <w:rFonts w:eastAsia="Arial Unicode MS"/>
          <w:color w:val="000000"/>
          <w:sz w:val="24"/>
          <w:lang w:val="el-GR"/>
        </w:rPr>
        <w:t xml:space="preserve">. </w:t>
      </w:r>
    </w:p>
    <w:p>
      <w:pPr>
        <w:pStyle w:val="Normal"/>
        <w:spacing w:lineRule="auto" w:line="276" w:before="120" w:after="120"/>
        <w:rPr>
          <w:rFonts w:eastAsia="Arial Unicode MS"/>
          <w:b/>
          <w:b/>
          <w:color w:val="000000"/>
          <w:sz w:val="24"/>
          <w:u w:val="single"/>
          <w:lang w:val="el-GR"/>
        </w:rPr>
      </w:pPr>
      <w:r>
        <w:rPr>
          <w:rFonts w:eastAsia="Arial Unicode MS"/>
          <w:b/>
          <w:color w:val="000000"/>
          <w:sz w:val="24"/>
          <w:u w:val="single"/>
          <w:lang w:val="el-GR"/>
        </w:rPr>
        <w:t>Ιδίως οι οικονομικοί φορείς που είναι εγκατεστημένοι στην Ελλάδα προσκομίζουν:</w:t>
      </w:r>
    </w:p>
    <w:p>
      <w:pPr>
        <w:pStyle w:val="Normal"/>
        <w:spacing w:lineRule="auto" w:line="276"/>
        <w:rPr/>
      </w:pPr>
      <w:bookmarkStart w:id="84" w:name="_Hlk69240569"/>
      <w:r>
        <w:rPr>
          <w:rFonts w:eastAsia="Arial Unicode MS"/>
          <w:b/>
          <w:bCs/>
          <w:sz w:val="24"/>
          <w:lang w:val="en-US"/>
        </w:rPr>
        <w:t>i</w:t>
      </w:r>
      <w:r>
        <w:rPr>
          <w:rFonts w:eastAsia="Arial Unicode MS"/>
          <w:b/>
          <w:bCs/>
          <w:sz w:val="24"/>
          <w:lang w:val="el-GR"/>
        </w:rPr>
        <w:t>)</w:t>
      </w:r>
      <w:r>
        <w:rPr>
          <w:rFonts w:eastAsia="Arial Unicode MS"/>
          <w:bCs/>
          <w:sz w:val="24"/>
          <w:lang w:val="el-GR"/>
        </w:rPr>
        <w:t xml:space="preserve"> </w:t>
      </w:r>
      <w:r>
        <w:rPr>
          <w:rFonts w:eastAsia="Arial Unicode MS"/>
          <w:b/>
          <w:bCs/>
          <w:sz w:val="24"/>
          <w:lang w:val="el-GR"/>
        </w:rPr>
        <w:t>Ενιαίο Πιστοποιητικό Δικαστικής Φερεγγυότητας</w:t>
      </w:r>
      <w:bookmarkEnd w:id="84"/>
      <w:r>
        <w:rPr>
          <w:rFonts w:eastAsia="Arial Unicode MS"/>
          <w:b/>
          <w:bCs/>
          <w:sz w:val="24"/>
          <w:lang w:val="el-GR"/>
        </w:rPr>
        <w:t xml:space="preserve"> από το αρμόδιο Πρωτοδικείο</w:t>
      </w:r>
      <w:r>
        <w:rPr>
          <w:rFonts w:eastAsia="Arial Unicode MS"/>
          <w:bCs/>
          <w:sz w:val="24"/>
          <w:lang w:val="el-GR"/>
        </w:rPr>
        <w:t>,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pPr>
        <w:pStyle w:val="Normal"/>
        <w:spacing w:lineRule="auto" w:line="276"/>
        <w:rPr/>
      </w:pPr>
      <w:r>
        <w:rPr>
          <w:rFonts w:eastAsia="Arial Unicode MS"/>
          <w:b/>
          <w:sz w:val="24"/>
          <w:lang w:val="en-US"/>
        </w:rPr>
        <w:t>ii</w:t>
      </w:r>
      <w:r>
        <w:rPr>
          <w:rFonts w:eastAsia="Arial Unicode MS"/>
          <w:b/>
          <w:sz w:val="24"/>
          <w:lang w:val="el-GR"/>
        </w:rPr>
        <w:t xml:space="preserve">) </w:t>
      </w:r>
      <w:r>
        <w:rPr>
          <w:rFonts w:eastAsia="Arial Unicode MS"/>
          <w:b/>
          <w:bCs/>
          <w:sz w:val="24"/>
          <w:lang w:val="el-GR"/>
        </w:rPr>
        <w:t>Π</w:t>
      </w:r>
      <w:r>
        <w:rPr>
          <w:rFonts w:eastAsia="Arial Unicode MS"/>
          <w:b/>
          <w:sz w:val="24"/>
          <w:lang w:val="el-GR"/>
        </w:rPr>
        <w:t xml:space="preserve">ιστοποιητικό </w:t>
      </w:r>
      <w:r>
        <w:rPr>
          <w:rFonts w:eastAsia="Arial Unicode MS"/>
          <w:sz w:val="24"/>
          <w:lang w:val="el-GR"/>
        </w:rPr>
        <w:t>του</w:t>
      </w:r>
      <w:r>
        <w:rPr>
          <w:rFonts w:eastAsia="Arial Unicode MS"/>
          <w:b/>
          <w:sz w:val="24"/>
          <w:lang w:val="el-GR"/>
        </w:rPr>
        <w:t xml:space="preserve"> Γ.Ε.Μ.Η</w:t>
      </w:r>
      <w:r>
        <w:rPr>
          <w:rFonts w:eastAsia="Arial Unicode MS"/>
          <w:sz w:val="24"/>
          <w:lang w:val="el-GR"/>
        </w:rPr>
        <w:t xml:space="preserve">. από το οποίο προκύπτει ότι το νομικό πρόσωπο δεν έχει λυθεί και τεθεί υπό εκκαθάριση με απόφαση των εταίρων. </w:t>
      </w:r>
    </w:p>
    <w:p>
      <w:pPr>
        <w:pStyle w:val="Normal"/>
        <w:spacing w:lineRule="auto" w:line="276" w:before="0" w:after="0"/>
        <w:rPr/>
      </w:pPr>
      <w:r>
        <w:rPr>
          <w:rFonts w:eastAsia="Arial Unicode MS"/>
          <w:b/>
          <w:bCs/>
          <w:color w:val="000000"/>
          <w:sz w:val="24"/>
          <w:lang w:val="en-US"/>
        </w:rPr>
        <w:t>iii</w:t>
      </w:r>
      <w:r>
        <w:rPr>
          <w:rFonts w:eastAsia="Arial Unicode MS"/>
          <w:b/>
          <w:bCs/>
          <w:color w:val="000000"/>
          <w:sz w:val="24"/>
          <w:lang w:val="el-GR"/>
        </w:rPr>
        <w:t xml:space="preserve">) </w:t>
      </w:r>
      <w:r>
        <w:rPr>
          <w:rFonts w:eastAsia="Arial Unicode MS"/>
          <w:b/>
          <w:color w:val="000000"/>
          <w:sz w:val="24"/>
          <w:lang w:val="el-GR"/>
        </w:rPr>
        <w:t>Εκτύπωση της καρτέλας “Στοιχεία Μητρώου/Επιχείρησης</w:t>
      </w:r>
      <w:r>
        <w:rPr>
          <w:rFonts w:eastAsia="Arial Unicode MS"/>
          <w:color w:val="000000"/>
          <w:sz w:val="24"/>
          <w:lang w:val="el-GR"/>
        </w:rPr>
        <w:t xml:space="preserve">” </w:t>
      </w:r>
      <w:r>
        <w:rPr>
          <w:rFonts w:eastAsia="Arial Unicode MS"/>
          <w:bCs/>
          <w:sz w:val="24"/>
          <w:lang w:val="el-GR"/>
        </w:rPr>
        <w:t xml:space="preserve">από την ηλεκτρονική πλατφόρμα της </w:t>
      </w:r>
      <w:r>
        <w:rPr>
          <w:rFonts w:eastAsia="Arial Unicode MS"/>
          <w:b/>
          <w:bCs/>
          <w:sz w:val="24"/>
          <w:lang w:val="el-GR"/>
        </w:rPr>
        <w:t>Ανεξάρτητης Αρχής Δημοσίων Εσόδων</w:t>
      </w:r>
      <w:r>
        <w:rPr>
          <w:rFonts w:eastAsia="Arial Unicode MS"/>
          <w:color w:val="000000"/>
          <w:sz w:val="24"/>
          <w:lang w:val="el-GR"/>
        </w:rPr>
        <w:t xml:space="preserve">, όπως αυτά εμφανίζονται στο </w:t>
      </w:r>
      <w:r>
        <w:rPr>
          <w:rFonts w:cs="Helvetica"/>
          <w:b/>
          <w:bCs/>
          <w:sz w:val="24"/>
          <w:highlight w:val="white"/>
        </w:rPr>
        <w:t>TAXISnet</w:t>
      </w:r>
      <w:r>
        <w:rPr>
          <w:rFonts w:cs="Helvetica"/>
          <w:b/>
          <w:bCs/>
          <w:color w:val="767676"/>
          <w:sz w:val="24"/>
          <w:highlight w:val="white"/>
          <w:lang w:val="el-GR"/>
        </w:rPr>
        <w:t xml:space="preserve"> </w:t>
      </w:r>
      <w:r>
        <w:rPr>
          <w:rFonts w:eastAsia="Arial Unicode MS"/>
          <w:color w:val="000000"/>
          <w:sz w:val="24"/>
          <w:lang w:val="el-GR"/>
        </w:rPr>
        <w:t xml:space="preserve">από την οποία να προκύπτει η </w:t>
      </w:r>
      <w:r>
        <w:rPr>
          <w:rFonts w:eastAsia="Arial Unicode MS"/>
          <w:bCs/>
          <w:color w:val="000000"/>
          <w:sz w:val="24"/>
          <w:lang w:val="el-GR"/>
        </w:rPr>
        <w:t>μη αναστολή της επιχειρηματικής δραστηριότητάς τους.</w:t>
      </w:r>
    </w:p>
    <w:p>
      <w:pPr>
        <w:pStyle w:val="Normal"/>
        <w:spacing w:lineRule="auto" w:line="276"/>
        <w:rPr>
          <w:rFonts w:eastAsia="Arial Unicode MS"/>
          <w:bCs/>
          <w:color w:val="000000"/>
          <w:sz w:val="24"/>
          <w:lang w:val="el-GR"/>
        </w:rPr>
      </w:pPr>
      <w:r>
        <w:rPr>
          <w:rFonts w:eastAsia="Arial Unicode MS"/>
          <w:bCs/>
          <w:color w:val="000000"/>
          <w:sz w:val="24"/>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pPr>
        <w:pStyle w:val="Normal"/>
        <w:spacing w:lineRule="auto" w:line="276"/>
        <w:rPr/>
      </w:pPr>
      <w:r>
        <w:rPr>
          <w:rFonts w:eastAsia="Arial Unicode MS"/>
          <w:b/>
          <w:sz w:val="24"/>
          <w:lang w:val="el-GR"/>
        </w:rPr>
        <w:t>δ) Γ</w:t>
      </w:r>
      <w:r>
        <w:rPr>
          <w:rFonts w:eastAsia="Arial Unicode MS"/>
          <w:b/>
          <w:color w:val="000000"/>
          <w:sz w:val="24"/>
          <w:lang w:val="el-GR"/>
        </w:rPr>
        <w:t>ια τις λοιπές περιπτώσεις της παραγράφου 2.2.3.4, υπεύθυνη δήλωση</w:t>
      </w:r>
      <w:r>
        <w:rPr>
          <w:rFonts w:eastAsia="Arial Unicode MS"/>
          <w:color w:val="000000"/>
          <w:sz w:val="24"/>
          <w:lang w:val="el-GR"/>
        </w:rPr>
        <w:t xml:space="preserve"> του προσφέροντος οικονομικού φορέα ότι δεν συντρέχουν στο πρόσωπό του οι οριζόμενοι στην παράγραφο λόγοι αποκλεισμού</w:t>
      </w:r>
    </w:p>
    <w:p>
      <w:pPr>
        <w:pStyle w:val="Normal"/>
        <w:tabs>
          <w:tab w:val="clear" w:pos="720"/>
          <w:tab w:val="left" w:pos="1980" w:leader="none"/>
        </w:tabs>
        <w:spacing w:lineRule="auto" w:line="276" w:before="0" w:after="0"/>
        <w:rPr/>
      </w:pPr>
      <w:r>
        <w:rPr>
          <w:rFonts w:eastAsia="Arial Unicode MS"/>
          <w:b/>
          <w:sz w:val="24"/>
          <w:lang w:val="el-GR"/>
        </w:rPr>
        <w:t>ε) για την παράγραφο 2.2.3.9. υπεύθυνη δήλωση</w:t>
      </w:r>
      <w:r>
        <w:rPr>
          <w:rFonts w:eastAsia="Arial Unicode MS"/>
          <w:sz w:val="24"/>
          <w:lang w:val="el-GR"/>
        </w:rPr>
        <w:t xml:space="preserve">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r>
        <w:rPr>
          <w:rStyle w:val="Style14"/>
          <w:rStyle w:val="Style14"/>
          <w:rFonts w:eastAsia="Arial Unicode MS" w:cs="Calibri"/>
          <w:color w:val="000000"/>
          <w:sz w:val="24"/>
          <w:lang w:val="el-GR"/>
        </w:rPr>
        <w:footnoteReference w:id="40"/>
      </w:r>
      <w:r>
        <w:rPr>
          <w:rFonts w:eastAsia="Arial Unicode MS"/>
          <w:color w:val="000000"/>
          <w:sz w:val="24"/>
          <w:lang w:val="el-GR"/>
        </w:rPr>
        <w:t>.</w:t>
      </w:r>
    </w:p>
    <w:p>
      <w:pPr>
        <w:pStyle w:val="Normal"/>
        <w:spacing w:lineRule="auto" w:line="276" w:before="0" w:after="0"/>
        <w:rPr/>
      </w:pPr>
      <w:r>
        <w:rPr>
          <w:rFonts w:eastAsia="Arial Unicode MS"/>
          <w:b/>
          <w:sz w:val="24"/>
          <w:lang w:val="el-GR"/>
        </w:rPr>
        <w:t xml:space="preserve">στ) </w:t>
      </w:r>
      <w:r>
        <w:rPr>
          <w:b/>
          <w:color w:val="000000"/>
          <w:sz w:val="24"/>
          <w:lang w:val="el-GR"/>
        </w:rPr>
        <w:t>για την παράγραφο 2.2.3.5, δικαιολογητικά ονομαστικοποίησης των μετοχών</w:t>
      </w:r>
      <w:r>
        <w:rPr>
          <w:rStyle w:val="Style14"/>
          <w:rStyle w:val="Style14"/>
          <w:rFonts w:cs="Calibri"/>
          <w:color w:val="000000"/>
          <w:sz w:val="24"/>
          <w:lang w:val="el-GR"/>
        </w:rPr>
        <w:footnoteReference w:id="41"/>
      </w:r>
      <w:r>
        <w:rPr>
          <w:color w:val="000000"/>
          <w:sz w:val="24"/>
          <w:lang w:val="el-GR"/>
        </w:rPr>
        <w:t xml:space="preserve"> που καθορίζονται κατωτέρω, εφόσον ο προσωρινός ανάδοχος είναι ανώνυμη εταιρεία ή νομικό πρόσωπο στη μετοχική σύνθεση του οποίου συμμετέχει ανώνυμη εταιρεία ή νομικό πρόσωπο της αλλοδαπής που αντιστοιχεί σε ανώνυμη εταιρεία    (πλην των περιπτώσεων που αναφέρθηκαν στην παρ. 2.2.3.5 της παρούσας ανωτέρω).  </w:t>
      </w:r>
    </w:p>
    <w:p>
      <w:pPr>
        <w:pStyle w:val="Normal"/>
        <w:spacing w:lineRule="auto" w:line="276" w:before="0" w:after="0"/>
        <w:rPr>
          <w:color w:val="000000"/>
          <w:sz w:val="24"/>
          <w:lang w:val="el-GR"/>
        </w:rPr>
      </w:pPr>
      <w:r>
        <w:rPr>
          <w:color w:val="000000"/>
          <w:sz w:val="24"/>
          <w:lang w:val="el-GR"/>
        </w:rPr>
        <w:t>Συγκεκριμένα, προσκομίζονται:</w:t>
      </w:r>
    </w:p>
    <w:p>
      <w:pPr>
        <w:pStyle w:val="Normal"/>
        <w:spacing w:lineRule="auto" w:line="276" w:before="0" w:after="0"/>
        <w:rPr>
          <w:color w:val="000000"/>
          <w:sz w:val="24"/>
          <w:lang w:val="el-GR"/>
        </w:rPr>
      </w:pPr>
      <w:r>
        <w:rPr>
          <w:color w:val="000000"/>
          <w:sz w:val="24"/>
          <w:lang w:val="el-GR"/>
        </w:rPr>
        <w:t xml:space="preserve">i) Για 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pPr>
        <w:pStyle w:val="Normal"/>
        <w:spacing w:lineRule="auto" w:line="276" w:before="0" w:after="0"/>
        <w:rPr>
          <w:color w:val="000000"/>
          <w:sz w:val="24"/>
          <w:lang w:val="el-GR"/>
        </w:rPr>
      </w:pPr>
      <w:r>
        <w:rPr>
          <w:color w:val="000000"/>
          <w:sz w:val="24"/>
          <w:lang w:val="el-GR"/>
        </w:rPr>
        <w:t>ii) Όσον αφορά την εξαίρεση της περ. β) της παραγράφου 2.2.3.5, για την απόδειξη του ελέγχου δικαιωμάτων ψήφου υπεύθυνη δήλωση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 στην παράγραφο 2.2.3.5.</w:t>
      </w:r>
    </w:p>
    <w:p>
      <w:pPr>
        <w:pStyle w:val="Normal"/>
        <w:spacing w:lineRule="auto" w:line="276" w:before="0" w:after="0"/>
        <w:rPr>
          <w:color w:val="000000"/>
          <w:sz w:val="24"/>
          <w:lang w:val="el-GR"/>
        </w:rPr>
      </w:pPr>
      <w:r>
        <w:rPr>
          <w:color w:val="000000"/>
          <w:sz w:val="24"/>
          <w:lang w:val="el-GR"/>
        </w:rPr>
        <w:t>iii) Δικαιολογητικά ονομαστικοποίησης μετοχών του προσωρινού αναδόχου:</w:t>
      </w:r>
    </w:p>
    <w:p>
      <w:pPr>
        <w:pStyle w:val="Normal"/>
        <w:spacing w:lineRule="auto" w:line="276" w:before="0" w:after="0"/>
        <w:rPr>
          <w:color w:val="000000"/>
          <w:sz w:val="24"/>
          <w:lang w:val="el-GR"/>
        </w:rPr>
      </w:pPr>
      <w:r>
        <w:rPr>
          <w:color w:val="000000"/>
          <w:sz w:val="24"/>
          <w:lang w:val="el-GR"/>
        </w:rPr>
        <w:t>- Πιστοποιητικό αρμόδιας αρχής του κράτους της έδρας, από το οποίο να προκύπτει ότι οι μετοχές είναι ονομαστικές, που να έχει εκδοθεί έως τριάντα (30) εργάσιμες ημέρες πριν από την υποβολή του.</w:t>
      </w:r>
    </w:p>
    <w:p>
      <w:pPr>
        <w:pStyle w:val="Normal"/>
        <w:spacing w:lineRule="auto" w:line="276" w:before="0" w:after="0"/>
        <w:rPr>
          <w:color w:val="000000"/>
          <w:sz w:val="24"/>
          <w:lang w:val="el-GR"/>
        </w:rPr>
      </w:pPr>
      <w:r>
        <w:rPr>
          <w:color w:val="000000"/>
          <w:sz w:val="24"/>
          <w:lang w:val="el-GR"/>
        </w:rPr>
        <w:t>-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pPr>
        <w:pStyle w:val="Normal"/>
        <w:spacing w:lineRule="auto" w:line="276" w:before="0" w:after="0"/>
        <w:rPr>
          <w:color w:val="000000"/>
          <w:sz w:val="24"/>
          <w:lang w:val="el-GR"/>
        </w:rPr>
      </w:pPr>
      <w:r>
        <w:rPr>
          <w:color w:val="000000"/>
          <w:sz w:val="24"/>
          <w:lang w:val="el-GR"/>
        </w:rPr>
        <w:t>Ειδικότερα:</w:t>
      </w:r>
    </w:p>
    <w:p>
      <w:pPr>
        <w:pStyle w:val="Normal"/>
        <w:spacing w:lineRule="auto" w:line="276" w:before="0" w:after="0"/>
        <w:rPr>
          <w:color w:val="000000"/>
          <w:sz w:val="24"/>
          <w:lang w:val="el-GR"/>
        </w:rPr>
      </w:pPr>
      <w:r>
        <w:rPr>
          <w:color w:val="000000"/>
          <w:sz w:val="24"/>
          <w:lang w:val="el-GR"/>
        </w:rPr>
        <w:t>- Όσον αφορά στις εγκατεστημένες στην Ελλάδα ανώνυμες εταιρείες υποβάλλεται πιστοποιητικό του Γ.Ε.Μ.Η.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pPr>
        <w:pStyle w:val="Normal"/>
        <w:spacing w:lineRule="auto" w:line="276" w:before="0" w:after="0"/>
        <w:rPr>
          <w:color w:val="000000"/>
          <w:sz w:val="24"/>
          <w:lang w:val="el-GR"/>
        </w:rPr>
      </w:pPr>
      <w:r>
        <w:rPr>
          <w:color w:val="000000"/>
          <w:sz w:val="24"/>
          <w:lang w:val="el-GR"/>
        </w:rPr>
        <w:t>- Όσον αφορά στις αλλοδαπές ανώνυμες εταιρίες ή αλλοδαπά νομικά πρόσωπα που αντιστοιχούν σε ανώνυμες εταιρείες:</w:t>
      </w:r>
    </w:p>
    <w:p>
      <w:pPr>
        <w:pStyle w:val="Normal"/>
        <w:spacing w:lineRule="auto" w:line="276" w:before="0" w:after="0"/>
        <w:rPr>
          <w:color w:val="000000"/>
          <w:sz w:val="24"/>
          <w:lang w:val="el-GR"/>
        </w:rPr>
      </w:pPr>
      <w:r>
        <w:rPr>
          <w:color w:val="000000"/>
          <w:sz w:val="24"/>
          <w:lang w:val="el-GR"/>
        </w:rPr>
        <w:t>Α) εφόσον έχουν κατά το δίκαιο της έδρας τους ονομαστικές μετοχές,  προσκομίζουν :</w:t>
      </w:r>
    </w:p>
    <w:p>
      <w:pPr>
        <w:pStyle w:val="Normal"/>
        <w:spacing w:lineRule="auto" w:line="276" w:before="0" w:after="0"/>
        <w:rPr>
          <w:color w:val="000000"/>
          <w:sz w:val="24"/>
          <w:lang w:val="el-GR"/>
        </w:rPr>
      </w:pPr>
      <w:r>
        <w:rPr>
          <w:color w:val="000000"/>
          <w:sz w:val="24"/>
          <w:lang w:val="el-GR"/>
        </w:rPr>
        <w:t>i) Πιστοποιητικό αρμόδιας αρχής του κράτους της έδρας, από το οποίο να προκύπτει ότι οι μετοχές τους είναι ονομαστικές</w:t>
      </w:r>
    </w:p>
    <w:p>
      <w:pPr>
        <w:pStyle w:val="Normal"/>
        <w:spacing w:lineRule="auto" w:line="276" w:before="0" w:after="0"/>
        <w:rPr>
          <w:color w:val="000000"/>
          <w:sz w:val="24"/>
          <w:lang w:val="el-GR"/>
        </w:rPr>
      </w:pPr>
      <w:r>
        <w:rPr>
          <w:color w:val="000000"/>
          <w:sz w:val="24"/>
          <w:lang w:val="el-GR"/>
        </w:rPr>
        <w:t>ii) 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pPr>
        <w:pStyle w:val="Normal"/>
        <w:spacing w:lineRule="auto" w:line="276" w:before="0" w:after="0"/>
        <w:rPr>
          <w:color w:val="000000"/>
          <w:sz w:val="24"/>
          <w:lang w:val="el-GR"/>
        </w:rPr>
      </w:pPr>
      <w:r>
        <w:rPr>
          <w:color w:val="000000"/>
          <w:sz w:val="24"/>
          <w:lang w:val="el-GR"/>
        </w:rPr>
        <w:t xml:space="preserve">iii)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pPr>
        <w:pStyle w:val="Normal"/>
        <w:tabs>
          <w:tab w:val="clear" w:pos="720"/>
          <w:tab w:val="left" w:pos="284" w:leader="none"/>
        </w:tabs>
        <w:spacing w:lineRule="auto" w:line="276" w:before="0" w:after="0"/>
        <w:rPr>
          <w:color w:val="000000"/>
          <w:sz w:val="24"/>
          <w:lang w:val="el-GR"/>
        </w:rPr>
      </w:pPr>
      <w:r>
        <w:rPr>
          <w:color w:val="000000"/>
          <w:sz w:val="24"/>
          <w:lang w:val="el-GR"/>
        </w:rPr>
        <w:t>Β) εφόσον δεν έχουν υποχρέωση ονομαστικοποίησης μετοχών ή δεν προβλέπεται η ονομαστικοποίηση των μετοχών, προσκομίζουν:</w:t>
      </w:r>
    </w:p>
    <w:p>
      <w:pPr>
        <w:pStyle w:val="Normal"/>
        <w:spacing w:lineRule="auto" w:line="276" w:before="0" w:after="0"/>
        <w:rPr>
          <w:color w:val="000000"/>
          <w:sz w:val="24"/>
          <w:lang w:val="el-GR"/>
        </w:rPr>
      </w:pPr>
      <w:r>
        <w:rPr>
          <w:color w:val="000000"/>
          <w:sz w:val="24"/>
          <w:lang w:val="el-GR"/>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pPr>
        <w:pStyle w:val="Normal"/>
        <w:spacing w:lineRule="auto" w:line="276" w:before="0" w:after="0"/>
        <w:rPr>
          <w:color w:val="000000"/>
          <w:sz w:val="24"/>
          <w:lang w:val="el-GR"/>
        </w:rPr>
      </w:pPr>
      <w:r>
        <w:rPr>
          <w:color w:val="000000"/>
          <w:sz w:val="24"/>
          <w:lang w:val="el-GR"/>
        </w:rPr>
        <w:t>ii) έγκυρη και ενημερωμένη κατάσταση προσώπων που κατέχουν τουλάχιστον 1% των μετοχών ή δικαιωμάτων ψήφου,</w:t>
      </w:r>
    </w:p>
    <w:p>
      <w:pPr>
        <w:pStyle w:val="Normal"/>
        <w:spacing w:lineRule="auto" w:line="276" w:before="0" w:after="0"/>
        <w:rPr>
          <w:color w:val="000000"/>
          <w:sz w:val="24"/>
          <w:lang w:val="el-GR"/>
        </w:rPr>
      </w:pPr>
      <w:r>
        <w:rPr>
          <w:color w:val="000000"/>
          <w:sz w:val="24"/>
          <w:lang w:val="el-GR"/>
        </w:rPr>
        <w:t xml:space="preserve">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Εναπόκειται στην αναθέτουσα αρχή να αποδείξει τη δυνατότητα της εταιρείας να υποβάλλει την προαναφερόμενη κατάσταση, διαφορετικά η μη υποβολή της σχετικής κατάστασης δεν επιφέρει έννομες συνέπειες σε βάρος της εταιρείας. </w:t>
      </w:r>
    </w:p>
    <w:p>
      <w:pPr>
        <w:pStyle w:val="Normal"/>
        <w:spacing w:lineRule="auto" w:line="276" w:before="0" w:after="0"/>
        <w:rPr>
          <w:color w:val="000000"/>
          <w:sz w:val="24"/>
          <w:lang w:val="el-GR"/>
        </w:rPr>
      </w:pPr>
      <w:r>
        <w:rPr>
          <w:color w:val="000000"/>
          <w:sz w:val="24"/>
          <w:lang w:val="el-GR"/>
        </w:rPr>
        <w:t>Όλα τα ανωτέρω έγγραφα πρέπει να είναι επικυρωμένα από την κατά το νόμο αρμόδια αρχή του κράτους της έδρας του υποψηφίου και να συνοδεύονται από επίσημη μετάφραση στην ελληνική.</w:t>
      </w:r>
    </w:p>
    <w:p>
      <w:pPr>
        <w:pStyle w:val="Normal"/>
        <w:spacing w:lineRule="auto" w:line="276" w:before="0" w:after="0"/>
        <w:rPr>
          <w:color w:val="000000"/>
          <w:sz w:val="24"/>
          <w:lang w:val="el-GR"/>
        </w:rPr>
      </w:pPr>
      <w:r>
        <w:rPr>
          <w:color w:val="000000"/>
          <w:sz w:val="24"/>
          <w:lang w:val="el-GR"/>
        </w:rPr>
        <w:t>Ελλείψεις στα δικαιολογητικά ονομαστικοποίησης των μετοχών συμπληρώνονται κατά την παράγραφο 3.1.2 της παρούσας.</w:t>
      </w:r>
    </w:p>
    <w:p>
      <w:pPr>
        <w:pStyle w:val="Normal"/>
        <w:spacing w:lineRule="auto" w:line="276" w:before="0" w:after="0"/>
        <w:rPr>
          <w:color w:val="000000"/>
          <w:sz w:val="24"/>
          <w:lang w:val="el-GR"/>
        </w:rPr>
      </w:pPr>
      <w:r>
        <w:rPr>
          <w:color w:val="000000"/>
          <w:sz w:val="24"/>
          <w:lang w:val="el-GR"/>
        </w:rPr>
        <w:t>Η αναθέτουσα αρχή ελέγχει επίσης, επί ποινή απαραδέκτου της προσφοράς, εάν στη διαδικασία συμμετέχει εξωχώρια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 [Προς το σκοπό αυτό η Α.Α. δύναται να απαιτήσει, ο προσωρινός ανάδοχος, πέραν των ως άνω δικαιολογητικών ονομαστικοποίησης, να προσκομίζει κατά το στάδιο κατακύρωσης υπεύθυνη δήλωση ότι δεν είναι εξωχώρια εταιρεία, κατά την ανωτέρω έννοια και δεν εμπίπτει στις διατάξεις της παρ.4 εδαφ. α &amp; β του άρθρου 4 του Ν. 3310/2005 όπως ισχύει.]</w:t>
      </w:r>
    </w:p>
    <w:p>
      <w:pPr>
        <w:pStyle w:val="Normal"/>
        <w:spacing w:before="348" w:after="228"/>
        <w:ind w:left="0" w:right="0" w:hanging="0"/>
        <w:jc w:val="both"/>
        <w:rPr/>
      </w:pPr>
      <w:r>
        <w:rPr>
          <w:rFonts w:eastAsia="Arial Unicode MS" w:cs="Calibri"/>
          <w:b/>
          <w:bCs/>
          <w:sz w:val="24"/>
          <w:szCs w:val="24"/>
        </w:rPr>
        <w:t xml:space="preserve">Β.2. </w:t>
      </w:r>
      <w:r>
        <w:rPr>
          <w:rFonts w:eastAsia="Arial Unicode MS" w:cs="Tahoma"/>
          <w:sz w:val="24"/>
          <w:szCs w:val="24"/>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w:t>
      </w:r>
      <w:r>
        <w:rPr>
          <w:rFonts w:eastAsia="Arial Unicode MS" w:cs="Tahoma"/>
          <w:color w:val="00B050"/>
          <w:sz w:val="24"/>
          <w:szCs w:val="24"/>
        </w:rPr>
        <w:t xml:space="preserve"> </w:t>
      </w:r>
      <w:r>
        <w:rPr>
          <w:rFonts w:eastAsia="Arial Unicode MS" w:cs="Tahoma"/>
          <w:sz w:val="24"/>
          <w:szCs w:val="24"/>
        </w:rPr>
        <w:t xml:space="preserve">του κράτους εγκατάστασης. Οι οικονομικοί φορείς που είναι εγκατεστημένοι σε κράτος-μέλος της Ευρωπαϊκής Ένωσης προσκομίζουν πιστοποιητικό/βεβαίωση του αντίστοιχου επαγγελματικού ή εμπορικού μητρώου του Παραρτήματος </w:t>
      </w:r>
      <w:r>
        <w:rPr>
          <w:rFonts w:eastAsia="Arial Unicode MS" w:cs="Tahoma"/>
          <w:sz w:val="24"/>
          <w:szCs w:val="24"/>
          <w:lang w:val="en-US"/>
        </w:rPr>
        <w:t>XI</w:t>
      </w:r>
      <w:r>
        <w:rPr>
          <w:rFonts w:eastAsia="Arial Unicode MS" w:cs="Tahoma"/>
          <w:sz w:val="24"/>
          <w:szCs w:val="24"/>
        </w:rPr>
        <w:t xml:space="preserve"> του Προσαρτήματος Α΄του ν.4412/2016,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κράτη-μέλη ή στις χώρες όπου δεν προβλέπεται ένορκη βεβαίωση , από υπεύθυνη δήλωση του ενδιαφερόμενου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w:t>
      </w:r>
      <w:r>
        <w:rPr>
          <w:rFonts w:eastAsia="Calibri" w:cs="Tahoma"/>
          <w:sz w:val="24"/>
          <w:szCs w:val="24"/>
        </w:rPr>
        <w:t>σύμβασης.</w:t>
      </w:r>
      <w:r>
        <w:rPr>
          <w:rStyle w:val="Style14"/>
          <w:rStyle w:val="Style14"/>
          <w:rFonts w:eastAsia="Calibri" w:cs="Tahoma"/>
          <w:sz w:val="24"/>
          <w:szCs w:val="24"/>
        </w:rPr>
        <w:footnoteReference w:id="42"/>
      </w:r>
    </w:p>
    <w:p>
      <w:pPr>
        <w:pStyle w:val="Normal"/>
        <w:spacing w:lineRule="auto" w:line="276" w:before="0" w:after="0"/>
        <w:rPr/>
      </w:pPr>
      <w:r>
        <w:rPr>
          <w:rFonts w:eastAsia="Arial Unicode MS" w:cs="Tahoma"/>
          <w:sz w:val="24"/>
          <w:lang w:val="el-GR"/>
        </w:rPr>
        <w:t xml:space="preserve">Οι εγκατεστημένοι στην Ελλάδα οικονομικοί φορείς προσκομίζουν βεβαίωση εγγραφής στο οικείο επαγγελματικό </w:t>
      </w:r>
      <w:r>
        <w:rPr>
          <w:rFonts w:eastAsia="Calibri" w:cs="Tahoma"/>
          <w:sz w:val="24"/>
          <w:lang w:val="el-GR"/>
        </w:rPr>
        <w:t xml:space="preserve">μητρώο ή πιστοποιητικό που εκδίδεται από την οικεία υπηρεσία του Γ.Ε.ΜΗ. </w:t>
      </w:r>
    </w:p>
    <w:p>
      <w:pPr>
        <w:pStyle w:val="Normal"/>
        <w:spacing w:lineRule="auto" w:line="276" w:before="0" w:after="0"/>
        <w:rPr>
          <w:rFonts w:cs="Tahoma"/>
          <w:sz w:val="24"/>
          <w:lang w:val="el-GR"/>
        </w:rPr>
      </w:pPr>
      <w:r>
        <w:rPr>
          <w:rFonts w:cs="Tahoma"/>
          <w:sz w:val="24"/>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pPr>
        <w:pStyle w:val="Normal"/>
        <w:spacing w:lineRule="auto" w:line="276" w:before="0" w:after="0"/>
        <w:rPr/>
      </w:pPr>
      <w:r>
        <w:rPr>
          <w:rFonts w:eastAsia="Arial Unicode MS" w:cs="Tahoma"/>
          <w:sz w:val="24"/>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Pr>
          <w:rStyle w:val="Style14"/>
          <w:rStyle w:val="Style14"/>
          <w:rFonts w:eastAsia="Arial Unicode MS" w:cs="Tahoma"/>
          <w:sz w:val="24"/>
          <w:lang w:val="el-GR"/>
        </w:rPr>
        <w:footnoteReference w:id="43"/>
      </w:r>
      <w:r>
        <w:rPr>
          <w:rFonts w:eastAsia="Arial Unicode MS" w:cs="Tahoma"/>
          <w:sz w:val="24"/>
          <w:lang w:val="el-GR"/>
        </w:rPr>
        <w:t xml:space="preserve"> εκτός αν, σύμφωνα με τις ειδικότερες διατάξεις αυτών, φέρουν συγκεκριμένο χρόνο ισχύος.</w:t>
      </w:r>
    </w:p>
    <w:p>
      <w:pPr>
        <w:pStyle w:val="Normal"/>
        <w:spacing w:lineRule="auto" w:line="276" w:before="0" w:after="0"/>
        <w:rPr>
          <w:rFonts w:eastAsia="Arial Unicode MS" w:cs="Tahoma"/>
          <w:b/>
          <w:b/>
          <w:bCs/>
          <w:sz w:val="24"/>
          <w:lang w:val="el-GR"/>
        </w:rPr>
      </w:pPr>
      <w:r>
        <w:rPr>
          <w:rFonts w:eastAsia="Arial Unicode MS" w:cs="Tahoma"/>
          <w:b/>
          <w:bCs/>
          <w:sz w:val="24"/>
          <w:lang w:val="el-GR"/>
        </w:rPr>
      </w:r>
    </w:p>
    <w:p>
      <w:pPr>
        <w:pStyle w:val="Normal"/>
        <w:spacing w:lineRule="auto" w:line="276" w:before="0" w:after="0"/>
        <w:rPr/>
      </w:pPr>
      <w:r>
        <w:rPr>
          <w:rFonts w:eastAsia="Arial Unicode MS"/>
          <w:b/>
          <w:bCs/>
          <w:sz w:val="24"/>
          <w:lang w:val="el-GR"/>
        </w:rPr>
        <w:t>Β.3</w:t>
      </w:r>
      <w:r>
        <w:rPr>
          <w:rFonts w:eastAsia="Arial Unicode MS"/>
          <w:sz w:val="24"/>
          <w:lang w:val="el-GR"/>
        </w:rPr>
        <w:t xml:space="preserve"> </w:t>
      </w:r>
      <w:r>
        <w:rPr>
          <w:rFonts w:eastAsia="Arial Unicode MS" w:cs="Tahoma"/>
          <w:sz w:val="24"/>
          <w:lang w:val="el-GR"/>
        </w:rPr>
        <w:t>Δεν απαιτείται κατάθεση δικαιολογητικού για την απόδειξη της οικονομικής και χρηματοοικονομικής επάρκειας της παραγράφου 2.2.5.</w:t>
      </w:r>
    </w:p>
    <w:p>
      <w:pPr>
        <w:pStyle w:val="Normal"/>
        <w:spacing w:lineRule="auto" w:line="276" w:before="0" w:after="0"/>
        <w:rPr>
          <w:rFonts w:eastAsia="Arial Unicode MS"/>
          <w:b/>
          <w:b/>
          <w:bCs/>
          <w:color w:val="C9211E"/>
          <w:sz w:val="24"/>
          <w:lang w:val="el-GR"/>
        </w:rPr>
      </w:pPr>
      <w:r>
        <w:rPr>
          <w:rFonts w:eastAsia="Arial Unicode MS"/>
          <w:b/>
          <w:bCs/>
          <w:color w:val="C9211E"/>
          <w:sz w:val="24"/>
          <w:lang w:val="el-GR"/>
        </w:rPr>
      </w:r>
    </w:p>
    <w:p>
      <w:pPr>
        <w:pStyle w:val="Normal"/>
        <w:spacing w:lineRule="auto" w:line="276" w:before="0" w:after="0"/>
        <w:rPr/>
      </w:pPr>
      <w:r>
        <w:rPr>
          <w:rFonts w:eastAsia="Arial Unicode MS" w:cs="Tahoma"/>
          <w:b/>
          <w:bCs/>
          <w:sz w:val="24"/>
          <w:lang w:val="el-GR"/>
        </w:rPr>
        <w:t>Β.4.</w:t>
      </w:r>
      <w:r>
        <w:rPr>
          <w:rFonts w:eastAsia="Arial Unicode MS" w:cs="Tahoma"/>
          <w:sz w:val="24"/>
          <w:lang w:val="el-GR"/>
        </w:rPr>
        <w:t xml:space="preserve"> Για την απόδειξη της </w:t>
      </w:r>
      <w:r>
        <w:rPr>
          <w:rFonts w:eastAsia="Arial Unicode MS" w:cs="Tahoma"/>
          <w:b/>
          <w:sz w:val="24"/>
          <w:u w:val="single"/>
          <w:lang w:val="el-GR"/>
        </w:rPr>
        <w:t>τεχνικής ικανότητας της παραγράφου 2.2.6</w:t>
      </w:r>
      <w:r>
        <w:rPr>
          <w:rFonts w:eastAsia="Arial Unicode MS" w:cs="Tahoma"/>
          <w:sz w:val="24"/>
          <w:lang w:val="el-GR"/>
        </w:rPr>
        <w:t xml:space="preserve"> οι οικονομικοί φορείς προσκομίζουν</w:t>
      </w:r>
      <w:r>
        <w:rPr>
          <w:rFonts w:eastAsia="Arial Unicode MS" w:cs="Tahoma"/>
          <w:b/>
          <w:bCs/>
          <w:sz w:val="24"/>
          <w:lang w:val="el-GR"/>
        </w:rPr>
        <w:t>:</w:t>
      </w:r>
    </w:p>
    <w:p>
      <w:pPr>
        <w:pStyle w:val="Normal"/>
        <w:spacing w:lineRule="auto" w:line="276" w:before="0" w:after="0"/>
        <w:rPr>
          <w:rFonts w:eastAsia="Arial Unicode MS" w:cs="Tahoma"/>
          <w:sz w:val="24"/>
          <w:lang w:val="el-GR"/>
        </w:rPr>
      </w:pPr>
      <w:r>
        <w:rPr>
          <w:rFonts w:eastAsia="Arial Unicode MS" w:cs="Tahoma"/>
          <w:sz w:val="24"/>
          <w:lang w:val="el-GR"/>
        </w:rPr>
        <w:t xml:space="preserve">Έγγραφα (πρόσφατες βεβαιώσεις ή/και συστατικές επιστολές) σχετικά με την ικανοποιητική εκτέλεση της παροχής υπηρεσιών καθαριότητας, με αναφορά στον παραλήπτη των υπηρεσιών καθαριότητας, το αντικείμενο, τη χρονική διάρκεια και την αξία των συμβάσεων. </w:t>
      </w:r>
    </w:p>
    <w:p>
      <w:pPr>
        <w:pStyle w:val="Normal"/>
        <w:shd w:val="clear" w:color="auto" w:fill="FFFFFF"/>
        <w:spacing w:lineRule="auto" w:line="276" w:before="0" w:after="0"/>
        <w:ind w:left="23" w:right="159" w:hanging="0"/>
        <w:rPr>
          <w:rFonts w:eastAsia="Arial Unicode MS" w:cs="Tahoma"/>
          <w:b/>
          <w:b/>
          <w:bCs/>
          <w:color w:val="FF0000"/>
          <w:sz w:val="24"/>
          <w:highlight w:val="yellow"/>
          <w:lang w:val="el-GR"/>
        </w:rPr>
      </w:pPr>
      <w:r>
        <w:rPr>
          <w:rFonts w:eastAsia="Arial Unicode MS" w:cs="Tahoma"/>
          <w:b/>
          <w:bCs/>
          <w:color w:val="FF0000"/>
          <w:sz w:val="24"/>
          <w:highlight w:val="yellow"/>
          <w:lang w:val="el-GR"/>
        </w:rPr>
      </w:r>
    </w:p>
    <w:p>
      <w:pPr>
        <w:pStyle w:val="Normal"/>
        <w:spacing w:lineRule="auto" w:line="276" w:before="0" w:after="0"/>
        <w:rPr/>
      </w:pPr>
      <w:r>
        <w:rPr>
          <w:rFonts w:eastAsia="Arial Unicode MS"/>
          <w:b/>
          <w:bCs/>
          <w:sz w:val="24"/>
          <w:lang w:val="el-GR"/>
        </w:rPr>
        <w:t xml:space="preserve">Β.5  </w:t>
      </w:r>
      <w:r>
        <w:rPr>
          <w:sz w:val="24"/>
          <w:lang w:val="el-GR"/>
        </w:rPr>
        <w:t xml:space="preserve">Για την απόδειξη της συμμόρφωσής τους </w:t>
      </w:r>
      <w:r>
        <w:rPr>
          <w:b/>
          <w:sz w:val="24"/>
          <w:lang w:val="el-GR"/>
        </w:rPr>
        <w:t>με πρότυπα διασφάλισης ποιότητας και πρότυπα περιβαλλοντικής διαχείρισης</w:t>
      </w:r>
      <w:r>
        <w:rPr>
          <w:sz w:val="24"/>
          <w:lang w:val="el-GR"/>
        </w:rPr>
        <w:t xml:space="preserve"> της παραγράφου </w:t>
      </w:r>
      <w:r>
        <w:rPr>
          <w:b/>
          <w:sz w:val="24"/>
          <w:lang w:val="el-GR"/>
        </w:rPr>
        <w:t>2.2.7</w:t>
      </w:r>
      <w:r>
        <w:rPr>
          <w:sz w:val="24"/>
          <w:lang w:val="el-GR"/>
        </w:rPr>
        <w:t>:</w:t>
      </w:r>
    </w:p>
    <w:p>
      <w:pPr>
        <w:pStyle w:val="Normal"/>
        <w:shd w:val="clear" w:color="auto" w:fill="FFFFFF"/>
        <w:spacing w:lineRule="auto" w:line="276" w:before="0" w:after="0"/>
        <w:ind w:left="23" w:right="159" w:hanging="0"/>
        <w:rPr/>
      </w:pPr>
      <w:r>
        <w:rPr>
          <w:sz w:val="24"/>
          <w:szCs w:val="24"/>
        </w:rPr>
        <w:t xml:space="preserve">Για την απόδειξη της συμμόρφωσης με τα </w:t>
      </w:r>
      <w:r>
        <w:rPr>
          <w:b/>
          <w:sz w:val="24"/>
          <w:szCs w:val="24"/>
        </w:rPr>
        <w:t>πρότυπα διασφάλισης ποιότητας και πρότυπα περιβαλλοντικής διαχείρισης</w:t>
      </w:r>
      <w:r>
        <w:rPr>
          <w:sz w:val="24"/>
          <w:szCs w:val="24"/>
        </w:rPr>
        <w:t xml:space="preserve">, </w:t>
      </w:r>
      <w:r>
        <w:rPr>
          <w:rFonts w:eastAsia="Arial Unicode MS"/>
          <w:b/>
          <w:bCs/>
          <w:sz w:val="24"/>
          <w:szCs w:val="24"/>
        </w:rPr>
        <w:t>ο προσωρινός ανάδοχος</w:t>
      </w:r>
      <w:r>
        <w:rPr>
          <w:rFonts w:eastAsia="Arial Unicode MS"/>
          <w:bCs/>
          <w:sz w:val="24"/>
          <w:szCs w:val="24"/>
        </w:rPr>
        <w:t xml:space="preserve"> </w:t>
      </w:r>
      <w:r>
        <w:rPr>
          <w:rFonts w:eastAsia="Arial Unicode MS"/>
          <w:b/>
          <w:bCs/>
          <w:sz w:val="24"/>
          <w:szCs w:val="24"/>
        </w:rPr>
        <w:t xml:space="preserve">κατά το στάδιο της </w:t>
      </w:r>
      <w:r>
        <w:rPr>
          <w:b/>
          <w:sz w:val="24"/>
          <w:szCs w:val="24"/>
        </w:rPr>
        <w:t>Πρόσκληση υποβολής δικαιολογητικών κατακύρωσης</w:t>
      </w:r>
      <w:r>
        <w:rPr>
          <w:rFonts w:eastAsia="Arial Unicode MS"/>
          <w:bCs/>
          <w:sz w:val="24"/>
          <w:szCs w:val="24"/>
        </w:rPr>
        <w:t xml:space="preserve"> προσκομίζει αντίστοιχα</w:t>
      </w:r>
      <w:r>
        <w:rPr>
          <w:sz w:val="24"/>
          <w:szCs w:val="24"/>
        </w:rPr>
        <w:t>:</w:t>
      </w:r>
    </w:p>
    <w:p>
      <w:pPr>
        <w:pStyle w:val="Normal"/>
        <w:numPr>
          <w:ilvl w:val="0"/>
          <w:numId w:val="6"/>
        </w:numPr>
        <w:shd w:val="clear" w:color="auto" w:fill="FFFFFF"/>
        <w:spacing w:lineRule="auto" w:line="276" w:before="0" w:after="0"/>
        <w:ind w:left="383" w:right="159" w:hanging="360"/>
        <w:rPr>
          <w:sz w:val="24"/>
          <w:szCs w:val="24"/>
        </w:rPr>
      </w:pPr>
      <w:r>
        <w:rPr>
          <w:sz w:val="24"/>
          <w:szCs w:val="24"/>
        </w:rPr>
        <w:t>Πιστοποιητικό σε ισχύ, από ανεξάρτητο διαπιστευμένο φορέα για τη διαχείριση της   ποιότητας   σύμφωνα με το διεθνές πρότυπο ISO 9001 ή άλλο ισοδύναμο.</w:t>
      </w:r>
    </w:p>
    <w:p>
      <w:pPr>
        <w:pStyle w:val="Normal"/>
        <w:numPr>
          <w:ilvl w:val="0"/>
          <w:numId w:val="6"/>
        </w:numPr>
        <w:shd w:val="clear" w:color="auto" w:fill="FFFFFF"/>
        <w:spacing w:lineRule="auto" w:line="276" w:before="0" w:after="0"/>
        <w:ind w:left="383" w:right="159" w:hanging="360"/>
        <w:rPr>
          <w:sz w:val="24"/>
          <w:szCs w:val="24"/>
        </w:rPr>
      </w:pPr>
      <w:r>
        <w:rPr>
          <w:sz w:val="24"/>
          <w:szCs w:val="24"/>
        </w:rPr>
        <w:t xml:space="preserve">Πιστοποιητικό σε ισχύ από ανεξάρτητο διαπιστευμένο φορέα για την υγεία και ασφάλεια στην εργασία σύμφωνα με το διεθνές πρότυπο OHSAS 18001 ή άλλο ισοδύναμο. </w:t>
      </w:r>
    </w:p>
    <w:p>
      <w:pPr>
        <w:pStyle w:val="Normal"/>
        <w:numPr>
          <w:ilvl w:val="0"/>
          <w:numId w:val="6"/>
        </w:numPr>
        <w:shd w:val="clear" w:color="auto" w:fill="FFFFFF"/>
        <w:spacing w:lineRule="auto" w:line="276" w:before="0" w:after="0"/>
        <w:ind w:left="383" w:right="159" w:hanging="360"/>
        <w:rPr>
          <w:sz w:val="24"/>
          <w:szCs w:val="24"/>
        </w:rPr>
      </w:pPr>
      <w:r>
        <w:rPr>
          <w:sz w:val="24"/>
          <w:szCs w:val="24"/>
        </w:rPr>
        <w:t>Πιστοποιητικό σε ισχύ, από ανεξάρτητο διαπιστευμένο φορέα Συστήματος Περιβαλλοντικής Διαχείρισης ISO 14001 ή άλλο ισοδύναμο.</w:t>
      </w:r>
    </w:p>
    <w:p>
      <w:pPr>
        <w:pStyle w:val="Normal"/>
        <w:shd w:val="clear" w:color="auto" w:fill="FFFFFF"/>
        <w:spacing w:lineRule="auto" w:line="276" w:before="0" w:after="0"/>
        <w:ind w:left="0" w:right="159" w:hanging="0"/>
        <w:rPr>
          <w:sz w:val="24"/>
          <w:szCs w:val="24"/>
        </w:rPr>
      </w:pPr>
      <w:r>
        <w:rPr>
          <w:sz w:val="24"/>
          <w:szCs w:val="24"/>
        </w:rPr>
      </w:r>
    </w:p>
    <w:p>
      <w:pPr>
        <w:pStyle w:val="Normal"/>
        <w:shd w:val="clear" w:color="auto" w:fill="FFFFFF"/>
        <w:tabs>
          <w:tab w:val="clear" w:pos="720"/>
          <w:tab w:val="left" w:pos="390" w:leader="none"/>
        </w:tabs>
        <w:spacing w:lineRule="auto" w:line="276" w:before="120" w:after="120"/>
        <w:ind w:left="0" w:right="23" w:hanging="0"/>
        <w:jc w:val="both"/>
        <w:rPr/>
      </w:pPr>
      <w:r>
        <w:rPr>
          <w:rFonts w:eastAsia="Arial Unicode MS" w:cs="Calibri" w:ascii="Calibri" w:hAnsi="Calibri"/>
          <w:bCs w:val="false"/>
          <w:sz w:val="24"/>
          <w:szCs w:val="24"/>
        </w:rPr>
        <w:t>Β.6.</w:t>
      </w:r>
      <w:r>
        <w:rPr>
          <w:rFonts w:eastAsia="Arial Unicode MS" w:cs="Calibri" w:ascii="Calibri" w:hAnsi="Calibri"/>
          <w:b w:val="false"/>
          <w:sz w:val="24"/>
          <w:szCs w:val="24"/>
        </w:rPr>
        <w:t xml:space="preserve"> </w:t>
      </w:r>
      <w:r>
        <w:rPr>
          <w:rFonts w:cs="Calibri" w:ascii="Calibri" w:hAnsi="Calibri"/>
          <w:b w:val="false"/>
          <w:sz w:val="24"/>
          <w:szCs w:val="24"/>
        </w:rPr>
        <w:t xml:space="preserve">Για την απόδειξη της </w:t>
      </w:r>
      <w:r>
        <w:rPr>
          <w:rFonts w:cs="Calibri" w:ascii="Calibri" w:hAnsi="Calibri"/>
          <w:sz w:val="24"/>
          <w:szCs w:val="24"/>
        </w:rPr>
        <w:t>νόμιμης εκπροσώπησης</w:t>
      </w:r>
      <w:r>
        <w:rPr>
          <w:rFonts w:cs="Calibri" w:ascii="Calibri" w:hAnsi="Calibri"/>
          <w:b w:val="false"/>
          <w:sz w:val="24"/>
          <w:szCs w:val="24"/>
        </w:rPr>
        <w:t>,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Pr>
          <w:rFonts w:cs="Calibri" w:ascii="Calibri" w:hAnsi="Calibri"/>
          <w:b w:val="false"/>
          <w:sz w:val="24"/>
          <w:szCs w:val="24"/>
          <w:vertAlign w:val="superscript"/>
        </w:rPr>
        <w:t xml:space="preserve"> </w:t>
      </w:r>
      <w:r>
        <w:rPr>
          <w:rStyle w:val="Style14"/>
          <w:rStyle w:val="Style14"/>
          <w:rFonts w:cs="Calibri" w:ascii="Calibri" w:hAnsi="Calibri"/>
          <w:b w:val="false"/>
          <w:sz w:val="24"/>
          <w:szCs w:val="24"/>
        </w:rPr>
        <w:footnoteReference w:id="44"/>
      </w:r>
      <w:r>
        <w:rPr>
          <w:rFonts w:cs="Calibri" w:ascii="Calibri" w:hAnsi="Calibri"/>
          <w:b w:val="false"/>
          <w:sz w:val="24"/>
          <w:szCs w:val="24"/>
        </w:rPr>
        <w:t>,  εκτός αν αυτό φέρει συγκεκριμένο χρόνο ισχύος.</w:t>
      </w:r>
    </w:p>
    <w:p>
      <w:pPr>
        <w:pStyle w:val="Normal"/>
        <w:spacing w:lineRule="auto" w:line="276"/>
        <w:rPr/>
      </w:pPr>
      <w:r>
        <w:rPr>
          <w:rFonts w:eastAsia="Arial Unicode MS"/>
          <w:sz w:val="24"/>
          <w:u w:val="single"/>
          <w:lang w:val="el-GR"/>
        </w:rPr>
        <w:t>Ειδικότερα για τους ημεδαπούς</w:t>
      </w:r>
      <w:r>
        <w:rPr>
          <w:rFonts w:eastAsia="Arial Unicode MS"/>
          <w:sz w:val="24"/>
          <w:lang w:val="el-GR"/>
        </w:rPr>
        <w:t xml:space="preserve"> οικονομικούς φορείς προσκομίζονται:</w:t>
      </w:r>
    </w:p>
    <w:p>
      <w:pPr>
        <w:pStyle w:val="Normal"/>
        <w:spacing w:lineRule="auto" w:line="276" w:before="0" w:after="120"/>
        <w:contextualSpacing/>
        <w:rPr/>
      </w:pPr>
      <w:r>
        <w:rPr>
          <w:rFonts w:eastAsia="Arial Unicode MS"/>
          <w:sz w:val="24"/>
          <w:lang w:val="el-GR"/>
        </w:rPr>
        <w:t xml:space="preserve">i) </w:t>
      </w:r>
      <w:r>
        <w:rPr>
          <w:rFonts w:eastAsia="Arial Unicode MS"/>
          <w:b/>
          <w:sz w:val="24"/>
          <w:lang w:val="el-GR"/>
        </w:rPr>
        <w:t>για την απόδειξη της νόμιμης εκπροσώπησης</w:t>
      </w:r>
      <w:r>
        <w:rPr>
          <w:rFonts w:eastAsia="Arial Unicode MS"/>
          <w:sz w:val="24"/>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rStyle w:val="Style14"/>
          <w:rStyle w:val="Style14"/>
          <w:rFonts w:eastAsia="Arial Unicode MS" w:cs="Calibri"/>
          <w:sz w:val="24"/>
          <w:lang w:val="el-GR"/>
        </w:rPr>
        <w:footnoteReference w:id="45"/>
      </w:r>
      <w:r>
        <w:rPr>
          <w:rFonts w:eastAsia="Arial Unicode MS"/>
          <w:sz w:val="24"/>
          <w:lang w:val="el-GR"/>
        </w:rPr>
        <w:t xml:space="preserve">,προσκομίζει σχετικό </w:t>
      </w:r>
      <w:r>
        <w:rPr>
          <w:rFonts w:eastAsia="Arial Unicode MS"/>
          <w:sz w:val="24"/>
          <w:u w:val="single"/>
          <w:lang w:val="el-GR"/>
        </w:rPr>
        <w:t>πιστοποιητικό ισχύουσας εκπροσώπησης</w:t>
      </w:r>
      <w:r>
        <w:rPr>
          <w:rStyle w:val="Style14"/>
          <w:rStyle w:val="Style14"/>
          <w:rFonts w:eastAsia="Arial Unicode MS" w:cs="Calibri"/>
          <w:sz w:val="24"/>
          <w:lang w:val="el-GR"/>
        </w:rPr>
        <w:footnoteReference w:id="46"/>
      </w:r>
      <w:r>
        <w:rPr>
          <w:rFonts w:eastAsia="Arial Unicode MS"/>
          <w:sz w:val="24"/>
          <w:lang w:val="el-GR"/>
        </w:rPr>
        <w:t xml:space="preserve">, το οποίο πρέπει να έχει εκδοθεί έως τριάντα (30) εργάσιμες ημέρες πριν από την υποβολή του.  </w:t>
      </w:r>
    </w:p>
    <w:p>
      <w:pPr>
        <w:pStyle w:val="Normal"/>
        <w:spacing w:lineRule="auto" w:line="276" w:before="0" w:after="0"/>
        <w:contextualSpacing/>
        <w:rPr/>
      </w:pPr>
      <w:r>
        <w:rPr>
          <w:rFonts w:eastAsia="Arial Unicode MS"/>
          <w:sz w:val="24"/>
          <w:lang w:val="el-GR"/>
        </w:rPr>
        <w:t xml:space="preserve">ii) </w:t>
      </w:r>
      <w:r>
        <w:rPr>
          <w:rFonts w:eastAsia="Arial Unicode MS"/>
          <w:b/>
          <w:sz w:val="24"/>
          <w:lang w:val="el-GR"/>
        </w:rPr>
        <w:t>για την απόδειξη της νόμιμης σύστασης</w:t>
      </w:r>
      <w:r>
        <w:rPr>
          <w:rFonts w:eastAsia="Arial Unicode MS"/>
          <w:sz w:val="24"/>
          <w:lang w:val="el-GR"/>
        </w:rPr>
        <w:t xml:space="preserve"> και των μεταβολών του νομικού προσώπου γενικό πιστοποιητικό μεταβολών του ΓΕΜΗ, εφόσον έχει εκδοθεί έως </w:t>
      </w:r>
      <w:r>
        <w:rPr>
          <w:rFonts w:eastAsia="Arial Unicode MS"/>
          <w:sz w:val="24"/>
          <w:u w:val="single"/>
          <w:lang w:val="el-GR"/>
        </w:rPr>
        <w:t>τρεις (3) μήνες πριν από την υποβολή του</w:t>
      </w:r>
      <w:r>
        <w:rPr>
          <w:rFonts w:eastAsia="Arial Unicode MS"/>
          <w:sz w:val="24"/>
          <w:lang w:val="el-GR"/>
        </w:rPr>
        <w:t xml:space="preserve">.  </w:t>
      </w:r>
    </w:p>
    <w:p>
      <w:pPr>
        <w:pStyle w:val="Normal"/>
        <w:spacing w:lineRule="auto" w:line="276" w:before="0" w:after="0"/>
        <w:rPr>
          <w:rFonts w:eastAsia="Arial Unicode MS"/>
          <w:sz w:val="24"/>
          <w:lang w:val="el-GR"/>
        </w:rPr>
      </w:pPr>
      <w:r>
        <w:rPr>
          <w:rFonts w:eastAsia="Arial Unicode MS"/>
          <w:sz w:val="24"/>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pPr>
        <w:pStyle w:val="Normal"/>
        <w:spacing w:lineRule="auto" w:line="276" w:before="0" w:after="0"/>
        <w:rPr>
          <w:rFonts w:eastAsia="Arial Unicode MS"/>
          <w:sz w:val="24"/>
          <w:lang w:val="el-GR"/>
        </w:rPr>
      </w:pPr>
      <w:r>
        <w:rPr>
          <w:rFonts w:eastAsia="Arial Unicode MS"/>
          <w:sz w:val="24"/>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pPr>
        <w:pStyle w:val="Normal"/>
        <w:spacing w:lineRule="auto" w:line="276" w:before="0" w:after="0"/>
        <w:rPr>
          <w:rFonts w:eastAsia="Arial Unicode MS"/>
          <w:bCs/>
          <w:sz w:val="24"/>
          <w:lang w:val="el-GR"/>
        </w:rPr>
      </w:pPr>
      <w:r>
        <w:rPr>
          <w:rFonts w:eastAsia="Arial Unicode MS"/>
          <w:bCs/>
          <w:sz w:val="24"/>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pPr>
        <w:pStyle w:val="Normal"/>
        <w:spacing w:lineRule="auto" w:line="276" w:before="0" w:after="0"/>
        <w:rPr/>
      </w:pPr>
      <w:r>
        <w:rPr>
          <w:rFonts w:eastAsia="Arial Unicode MS"/>
          <w:b/>
          <w:bCs/>
          <w:sz w:val="24"/>
          <w:lang w:val="el-GR"/>
        </w:rPr>
        <w:t xml:space="preserve">Οι ως άνω υπεύθυνες δηλώσεις γίνονται αποδεκτές, εφόσον έχουν συνταχθεί </w:t>
      </w:r>
      <w:r>
        <w:rPr>
          <w:rFonts w:eastAsia="Arial Unicode MS"/>
          <w:b/>
          <w:bCs/>
          <w:sz w:val="24"/>
          <w:u w:val="single"/>
          <w:lang w:val="el-GR"/>
        </w:rPr>
        <w:t>μετά την κοινοποίηση της πρόσκλησης</w:t>
      </w:r>
      <w:r>
        <w:rPr>
          <w:rFonts w:eastAsia="Arial Unicode MS"/>
          <w:b/>
          <w:bCs/>
          <w:sz w:val="24"/>
          <w:lang w:val="el-GR"/>
        </w:rPr>
        <w:t xml:space="preserve"> για την υποβολή των δικαιολογητικών</w:t>
      </w:r>
      <w:r>
        <w:rPr>
          <w:rFonts w:eastAsia="Arial Unicode MS"/>
          <w:bCs/>
          <w:sz w:val="24"/>
          <w:lang w:val="el-GR"/>
        </w:rPr>
        <w:t>.</w:t>
      </w:r>
    </w:p>
    <w:p>
      <w:pPr>
        <w:pStyle w:val="Normal"/>
        <w:spacing w:lineRule="auto" w:line="276"/>
        <w:rPr>
          <w:rFonts w:eastAsia="Arial Unicode MS"/>
          <w:sz w:val="24"/>
          <w:lang w:val="el-GR"/>
        </w:rPr>
      </w:pPr>
      <w:r>
        <w:rPr>
          <w:rFonts w:eastAsia="Arial Unicode MS"/>
          <w:sz w:val="24"/>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pPr>
        <w:pStyle w:val="Normal"/>
        <w:spacing w:lineRule="auto" w:line="276" w:before="0" w:after="0"/>
        <w:rPr/>
      </w:pPr>
      <w:r>
        <w:rPr>
          <w:rFonts w:eastAsia="Arial Unicode MS"/>
          <w:b/>
          <w:bCs/>
          <w:sz w:val="24"/>
          <w:lang w:val="el-GR"/>
        </w:rPr>
        <w:t>Β.7.</w:t>
      </w:r>
      <w:r>
        <w:rPr>
          <w:rFonts w:eastAsia="Arial Unicode MS"/>
          <w:sz w:val="24"/>
          <w:lang w:val="el-GR"/>
        </w:rPr>
        <w:t xml:space="preserve"> Οι οικονομικοί φορείς που είναι εγγεγραμμένοι σε επίσημους καταλόγους</w:t>
      </w:r>
      <w:r>
        <w:rPr>
          <w:rStyle w:val="Style14"/>
          <w:rStyle w:val="Style14"/>
          <w:rFonts w:eastAsia="Arial Unicode MS" w:cs="Calibri"/>
          <w:sz w:val="24"/>
        </w:rPr>
        <w:footnoteReference w:id="47"/>
      </w:r>
      <w:r>
        <w:rPr>
          <w:rFonts w:eastAsia="Arial Unicode MS"/>
          <w:sz w:val="24"/>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Pr>
          <w:rFonts w:eastAsia="Arial Unicode MS"/>
          <w:sz w:val="24"/>
        </w:rPr>
        <w:t>VII</w:t>
      </w:r>
      <w:r>
        <w:rPr>
          <w:rFonts w:eastAsia="Arial Unicode MS"/>
          <w:sz w:val="24"/>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pPr>
        <w:pStyle w:val="Normal"/>
        <w:spacing w:lineRule="auto" w:line="276" w:before="0" w:after="0"/>
        <w:rPr>
          <w:rFonts w:eastAsia="Arial Unicode MS"/>
          <w:sz w:val="24"/>
          <w:lang w:val="el-GR"/>
        </w:rPr>
      </w:pPr>
      <w:r>
        <w:rPr>
          <w:rFonts w:eastAsia="Arial Unicode MS"/>
          <w:sz w:val="24"/>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pPr>
        <w:pStyle w:val="Normal"/>
        <w:spacing w:lineRule="auto" w:line="276" w:before="0" w:after="0"/>
        <w:rPr>
          <w:rFonts w:eastAsia="Arial Unicode MS"/>
          <w:sz w:val="24"/>
          <w:lang w:val="el-GR"/>
        </w:rPr>
      </w:pPr>
      <w:r>
        <w:rPr>
          <w:rFonts w:eastAsia="Arial Unicode MS"/>
          <w:sz w:val="24"/>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pPr>
        <w:pStyle w:val="Normal"/>
        <w:spacing w:lineRule="auto" w:line="276" w:before="0" w:after="0"/>
        <w:rPr/>
      </w:pPr>
      <w:r>
        <w:rPr>
          <w:rFonts w:eastAsia="Arial Unicode MS"/>
          <w:sz w:val="24"/>
          <w:lang w:val="el-G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w:t>
      </w:r>
      <w:r>
        <w:rPr>
          <w:rFonts w:eastAsia="Arial Unicode MS"/>
          <w:sz w:val="24"/>
          <w:lang w:val="en-US"/>
        </w:rPr>
        <w:t>i</w:t>
      </w:r>
      <w:r>
        <w:rPr>
          <w:rFonts w:eastAsia="Arial Unicode MS"/>
          <w:sz w:val="24"/>
          <w:lang w:val="el-GR"/>
        </w:rPr>
        <w:t xml:space="preserve">, </w:t>
      </w:r>
      <w:r>
        <w:rPr>
          <w:rFonts w:eastAsia="Arial Unicode MS"/>
          <w:sz w:val="24"/>
          <w:lang w:val="en-US"/>
        </w:rPr>
        <w:t>ii</w:t>
      </w:r>
      <w:r>
        <w:rPr>
          <w:rFonts w:eastAsia="Arial Unicode MS"/>
          <w:sz w:val="24"/>
          <w:lang w:val="el-GR"/>
        </w:rPr>
        <w:t xml:space="preserve"> και </w:t>
      </w:r>
      <w:r>
        <w:rPr>
          <w:rFonts w:eastAsia="Arial Unicode MS"/>
          <w:sz w:val="24"/>
          <w:lang w:val="en-US"/>
        </w:rPr>
        <w:t>iii</w:t>
      </w:r>
      <w:r>
        <w:rPr>
          <w:rFonts w:eastAsia="Arial Unicode MS"/>
          <w:sz w:val="24"/>
          <w:lang w:val="el-GR"/>
        </w:rPr>
        <w:t xml:space="preserve"> της περ.β.</w:t>
      </w:r>
    </w:p>
    <w:p>
      <w:pPr>
        <w:pStyle w:val="Normal"/>
        <w:spacing w:lineRule="auto" w:line="276" w:before="120" w:after="0"/>
        <w:rPr/>
      </w:pPr>
      <w:r>
        <w:rPr>
          <w:rFonts w:eastAsia="Arial Unicode MS"/>
          <w:b/>
          <w:bCs/>
          <w:sz w:val="24"/>
          <w:lang w:val="el-GR"/>
        </w:rPr>
        <w:t>Β.8.</w:t>
      </w:r>
      <w:r>
        <w:rPr>
          <w:rFonts w:eastAsia="Arial Unicode MS"/>
          <w:sz w:val="24"/>
          <w:lang w:val="el-GR"/>
        </w:rPr>
        <w:t xml:space="preserve"> Οι ενώσεις οικονομικών φορέων που υποβάλλουν κοινή προσφορά, υποβάλλουν τα παραπάνω, κατά περίπτωση δικαιολογητικά, </w:t>
      </w:r>
      <w:r>
        <w:rPr>
          <w:rFonts w:eastAsia="Arial Unicode MS"/>
          <w:sz w:val="24"/>
          <w:u w:val="single"/>
          <w:lang w:val="el-GR"/>
        </w:rPr>
        <w:t>για κάθε οικονομικό φορέα που συμμετέχει στην ένωση</w:t>
      </w:r>
      <w:r>
        <w:rPr>
          <w:rFonts w:eastAsia="Arial Unicode MS"/>
          <w:sz w:val="24"/>
          <w:lang w:val="el-GR"/>
        </w:rPr>
        <w:t xml:space="preserve">, σύμφωνα με τα ειδικότερα προβλεπόμενα στο άρθρο 19 παρ. 2 του ν. 4412/2016. </w:t>
      </w:r>
    </w:p>
    <w:p>
      <w:pPr>
        <w:pStyle w:val="Normal"/>
        <w:spacing w:lineRule="auto" w:line="276" w:before="120" w:after="0"/>
        <w:rPr/>
      </w:pPr>
      <w:r>
        <w:rPr>
          <w:rFonts w:eastAsia="Arial Unicode MS"/>
          <w:b/>
          <w:bCs/>
          <w:sz w:val="24"/>
          <w:lang w:val="el-GR"/>
        </w:rPr>
        <w:t>Β.9.</w:t>
      </w:r>
      <w:r>
        <w:rPr>
          <w:rFonts w:eastAsia="Arial Unicode MS"/>
          <w:sz w:val="24"/>
          <w:lang w:val="el-GR"/>
        </w:rPr>
        <w:t xml:space="preserve"> </w:t>
      </w:r>
      <w:r>
        <w:rPr>
          <w:rFonts w:eastAsia="Arial Unicode MS"/>
          <w:color w:val="000000"/>
          <w:sz w:val="24"/>
          <w:lang w:val="el-GR"/>
        </w:rPr>
        <w:t xml:space="preserve">Στην περίπτωση που οικονομικός φορέας επιθυμεί να στηριχθεί </w:t>
      </w:r>
      <w:r>
        <w:rPr>
          <w:rFonts w:eastAsia="Arial Unicode MS"/>
          <w:color w:val="000000"/>
          <w:sz w:val="24"/>
          <w:u w:val="single"/>
          <w:lang w:val="el-GR"/>
        </w:rPr>
        <w:t>στις ικανότητες άλλων φορέων</w:t>
      </w:r>
      <w:r>
        <w:rPr>
          <w:rFonts w:eastAsia="Arial Unicode MS"/>
          <w:color w:val="000000"/>
          <w:sz w:val="24"/>
          <w:lang w:val="el-GR"/>
        </w:rPr>
        <w:t xml:space="preserve">, σύμφωνα με την παράγραφο 2.2.8 για την απόδειξη ότι θα έχει στη διάθεσή του τους αναγκαίους πόρους, προσκομίζει, ιδίως, </w:t>
      </w:r>
      <w:r>
        <w:rPr>
          <w:rFonts w:eastAsia="Arial Unicode MS"/>
          <w:b/>
          <w:color w:val="000000"/>
          <w:sz w:val="24"/>
          <w:lang w:val="el-GR"/>
        </w:rPr>
        <w:t>σχετική έγγραφη δέσμευση των φορέων αυτών</w:t>
      </w:r>
      <w:r>
        <w:rPr>
          <w:rFonts w:eastAsia="Arial Unicode MS"/>
          <w:color w:val="000000"/>
          <w:sz w:val="24"/>
          <w:lang w:val="el-GR"/>
        </w:rPr>
        <w:t xml:space="preserve"> για τον σκοπό αυτό. </w:t>
      </w:r>
    </w:p>
    <w:p>
      <w:pPr>
        <w:pStyle w:val="Normal"/>
        <w:spacing w:lineRule="auto" w:line="276" w:before="0" w:after="0"/>
        <w:rPr/>
      </w:pPr>
      <w:r>
        <w:rPr>
          <w:rFonts w:eastAsia="Arial Unicode MS"/>
          <w:color w:val="000000"/>
          <w:sz w:val="24"/>
          <w:lang w:val="el-GR"/>
        </w:rPr>
        <w:t xml:space="preserve">Ειδικότερα, προσκομίζεται </w:t>
      </w:r>
      <w:r>
        <w:rPr>
          <w:rFonts w:eastAsia="Arial Unicode MS"/>
          <w:b/>
          <w:color w:val="000000"/>
          <w:sz w:val="24"/>
          <w:lang w:val="el-GR"/>
        </w:rPr>
        <w:t>έγγραφο</w:t>
      </w:r>
      <w:r>
        <w:rPr>
          <w:rFonts w:eastAsia="Arial Unicode MS"/>
          <w:color w:val="000000"/>
          <w:sz w:val="24"/>
          <w:lang w:val="el-GR"/>
        </w:rPr>
        <w:t xml:space="preserve">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w:t>
      </w:r>
      <w:r>
        <w:rPr>
          <w:rFonts w:eastAsia="Arial Unicode MS"/>
          <w:b/>
          <w:color w:val="000000"/>
          <w:sz w:val="24"/>
          <w:lang w:val="el-GR"/>
        </w:rPr>
        <w:t>εγκρίνουν τη μεταξύ τους συνεργασία</w:t>
      </w:r>
      <w:r>
        <w:rPr>
          <w:rFonts w:eastAsia="Arial Unicode MS"/>
          <w:color w:val="000000"/>
          <w:sz w:val="24"/>
          <w:lang w:val="el-GR"/>
        </w:rPr>
        <w:t xml:space="preserve">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w:t>
      </w:r>
      <w:r>
        <w:rPr>
          <w:rFonts w:eastAsia="Arial Unicode MS"/>
          <w:b/>
          <w:color w:val="000000"/>
          <w:sz w:val="24"/>
          <w:lang w:val="el-GR"/>
        </w:rPr>
        <w:t xml:space="preserve">λεπτομερής </w:t>
      </w:r>
      <w:r>
        <w:rPr>
          <w:rFonts w:eastAsia="Arial Unicode MS"/>
          <w:color w:val="000000"/>
          <w:sz w:val="24"/>
          <w:lang w:val="el-GR"/>
        </w:rPr>
        <w:t>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pPr>
        <w:pStyle w:val="Normal"/>
        <w:spacing w:lineRule="auto" w:line="276" w:before="0" w:after="0"/>
        <w:rPr>
          <w:rFonts w:eastAsia="Arial Unicode MS"/>
          <w:color w:val="000000"/>
          <w:sz w:val="24"/>
          <w:lang w:val="el-GR"/>
        </w:rPr>
      </w:pPr>
      <w:r>
        <w:rPr>
          <w:rFonts w:eastAsia="Arial Unicode MS"/>
          <w:color w:val="000000"/>
          <w:sz w:val="24"/>
          <w:lang w:val="el-GR"/>
        </w:rPr>
        <w:t>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w:t>
      </w:r>
    </w:p>
    <w:p>
      <w:pPr>
        <w:pStyle w:val="Normal"/>
        <w:spacing w:lineRule="auto" w:line="276"/>
        <w:rPr/>
      </w:pPr>
      <w:r>
        <w:rPr>
          <w:rFonts w:eastAsia="Arial Unicode MS"/>
          <w:color w:val="000000"/>
          <w:sz w:val="24"/>
          <w:lang w:val="el-GR"/>
        </w:rPr>
        <w:t xml:space="preserve">Σε περίπτωση που </w:t>
      </w:r>
      <w:r>
        <w:rPr>
          <w:rFonts w:eastAsia="Arial Unicode MS"/>
          <w:b/>
          <w:color w:val="000000"/>
          <w:sz w:val="24"/>
          <w:lang w:val="el-GR"/>
        </w:rPr>
        <w:t>ο τρίτος διαθέτει στοιχεία τεχνικής ή επαγγελματικής καταλληλότητας</w:t>
      </w:r>
      <w:r>
        <w:rPr>
          <w:rFonts w:eastAsia="Arial Unicode MS"/>
          <w:color w:val="000000"/>
          <w:sz w:val="24"/>
          <w:lang w:val="el-GR"/>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w:t>
      </w:r>
      <w:r>
        <w:rPr>
          <w:rFonts w:eastAsia="Arial Unicode MS"/>
          <w:b/>
          <w:color w:val="000000"/>
          <w:sz w:val="24"/>
          <w:lang w:val="el-GR"/>
        </w:rPr>
        <w:t>θα δεσμεύεται</w:t>
      </w:r>
      <w:r>
        <w:rPr>
          <w:rFonts w:eastAsia="Arial Unicode MS"/>
          <w:color w:val="000000"/>
          <w:sz w:val="24"/>
          <w:lang w:val="el-GR"/>
        </w:rPr>
        <w:t xml:space="preserve"> ότι θα εκτελέσει τις εργασίες ή υπηρεσίες για τις οποίες απαιτούνται οι συγκεκριμένες ικανότητες, </w:t>
      </w:r>
      <w:r>
        <w:rPr>
          <w:rFonts w:eastAsia="Arial Unicode MS"/>
          <w:b/>
          <w:color w:val="000000"/>
          <w:sz w:val="24"/>
          <w:lang w:val="el-GR"/>
        </w:rPr>
        <w:t>δηλώνοντας το τμήμα της σύμβασης που θα εκτελέσει</w:t>
      </w:r>
      <w:r>
        <w:rPr>
          <w:rFonts w:eastAsia="Arial Unicode MS"/>
          <w:color w:val="000000"/>
          <w:sz w:val="24"/>
          <w:lang w:val="el-GR"/>
        </w:rPr>
        <w:t>.</w:t>
      </w:r>
    </w:p>
    <w:p>
      <w:pPr>
        <w:pStyle w:val="Normal"/>
        <w:spacing w:lineRule="auto" w:line="276" w:before="120" w:after="120"/>
        <w:rPr/>
      </w:pPr>
      <w:r>
        <w:rPr>
          <w:rFonts w:eastAsia="Arial Unicode MS"/>
          <w:b/>
          <w:bCs/>
          <w:sz w:val="24"/>
          <w:lang w:val="el-GR"/>
        </w:rPr>
        <w:t xml:space="preserve">Β.10. </w:t>
      </w:r>
      <w:r>
        <w:rPr>
          <w:rFonts w:eastAsia="Arial Unicode MS"/>
          <w:sz w:val="24"/>
          <w:lang w:val="el-GR"/>
        </w:rPr>
        <w:t xml:space="preserve">Στην περίπτωση που ο οικονομικός φορέας δηλώνει στην προσφορά του ότι θα κάνει </w:t>
      </w:r>
      <w:r>
        <w:rPr>
          <w:rFonts w:eastAsia="Arial Unicode MS"/>
          <w:sz w:val="24"/>
          <w:u w:val="single"/>
          <w:lang w:val="el-GR"/>
        </w:rPr>
        <w:t>χρήση υπεργολάβων</w:t>
      </w:r>
      <w:r>
        <w:rPr>
          <w:rFonts w:eastAsia="Arial Unicode MS"/>
          <w:sz w:val="24"/>
          <w:lang w:val="el-GR"/>
        </w:rPr>
        <w:t xml:space="preserve">,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pPr>
        <w:pStyle w:val="Normal"/>
        <w:spacing w:lineRule="auto" w:line="276" w:before="0" w:after="0"/>
        <w:rPr>
          <w:rFonts w:eastAsia="Arial Unicode MS"/>
          <w:b/>
          <w:b/>
          <w:bCs/>
          <w:sz w:val="24"/>
          <w:lang w:val="el-GR"/>
        </w:rPr>
      </w:pPr>
      <w:r>
        <w:rPr>
          <w:rFonts w:eastAsia="Arial Unicode MS"/>
          <w:b/>
          <w:bCs/>
          <w:sz w:val="24"/>
          <w:lang w:val="el-GR"/>
        </w:rPr>
        <w:t>Β.11. Επισημαίνεται ότι γίνονται αποδεκτές:</w:t>
      </w:r>
    </w:p>
    <w:p>
      <w:pPr>
        <w:pStyle w:val="Normal"/>
        <w:numPr>
          <w:ilvl w:val="0"/>
          <w:numId w:val="4"/>
        </w:numPr>
        <w:spacing w:lineRule="auto" w:line="276" w:before="0" w:after="0"/>
        <w:ind w:left="0" w:right="0" w:hanging="0"/>
        <w:rPr>
          <w:rFonts w:eastAsia="Arial Unicode MS"/>
          <w:b/>
          <w:b/>
          <w:bCs/>
          <w:sz w:val="24"/>
          <w:lang w:val="el-GR"/>
        </w:rPr>
      </w:pPr>
      <w:r>
        <w:rPr>
          <w:rFonts w:eastAsia="Arial Unicode MS"/>
          <w:b/>
          <w:bCs/>
          <w:sz w:val="24"/>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pPr>
        <w:pStyle w:val="Normal"/>
        <w:numPr>
          <w:ilvl w:val="0"/>
          <w:numId w:val="4"/>
        </w:numPr>
        <w:spacing w:before="120" w:after="0"/>
        <w:ind w:left="0" w:right="0" w:hanging="0"/>
        <w:jc w:val="both"/>
        <w:rPr/>
      </w:pPr>
      <w:r>
        <w:rPr>
          <w:rFonts w:eastAsia="Arial Unicode MS" w:cs="Calibri"/>
          <w:b/>
          <w:bCs/>
          <w:sz w:val="24"/>
          <w:szCs w:val="24"/>
        </w:rPr>
        <w:t>Οι υπεύθυνες δηλώσεις, εφόσον έχουν συνταχθεί μετά την κοινοποίηση της πρόσκλησης για την υποβολή των δικαιολογητικών</w:t>
      </w:r>
      <w:r>
        <w:rPr>
          <w:rStyle w:val="Style14"/>
          <w:rStyle w:val="Style14"/>
          <w:rFonts w:eastAsia="Arial Unicode MS" w:cs="Calibri"/>
          <w:b/>
          <w:sz w:val="24"/>
          <w:szCs w:val="24"/>
        </w:rPr>
        <w:footnoteReference w:id="48"/>
      </w:r>
      <w:r>
        <w:rPr>
          <w:rFonts w:eastAsia="Arial Unicode MS" w:cs="Calibri"/>
          <w:b/>
          <w:bCs/>
          <w:sz w:val="24"/>
          <w:szCs w:val="24"/>
        </w:rPr>
        <w:t xml:space="preserve">. Σημειώνεται ότι </w:t>
      </w:r>
      <w:r>
        <w:rPr>
          <w:rFonts w:eastAsia="Arial Unicode MS" w:cs="Calibri"/>
          <w:b/>
          <w:bCs/>
          <w:sz w:val="24"/>
          <w:szCs w:val="24"/>
          <w:u w:val="single"/>
        </w:rPr>
        <w:t>δεν απαιτείται θεώρηση του γνησίου</w:t>
      </w:r>
      <w:r>
        <w:rPr>
          <w:rFonts w:eastAsia="Arial Unicode MS" w:cs="Calibri"/>
          <w:b/>
          <w:bCs/>
          <w:sz w:val="24"/>
          <w:szCs w:val="24"/>
        </w:rPr>
        <w:t xml:space="preserve"> της υπογραφής τους</w:t>
      </w:r>
      <w:r>
        <w:rPr>
          <w:rFonts w:eastAsia="Arial Unicode MS" w:cs="Calibri"/>
          <w:color w:val="000000"/>
          <w:sz w:val="24"/>
          <w:szCs w:val="24"/>
        </w:rPr>
        <w:t>.</w:t>
      </w:r>
    </w:p>
    <w:p>
      <w:pPr>
        <w:pStyle w:val="Normal"/>
        <w:spacing w:lineRule="auto" w:line="276" w:before="0" w:after="0"/>
        <w:rPr>
          <w:sz w:val="24"/>
          <w:lang w:val="el-GR"/>
        </w:rPr>
      </w:pPr>
      <w:r>
        <w:rPr>
          <w:sz w:val="24"/>
          <w:lang w:val="el-GR"/>
        </w:rPr>
      </w:r>
      <w:bookmarkStart w:id="85" w:name="_Toc492539461"/>
      <w:bookmarkStart w:id="86" w:name="_Toc492539461"/>
      <w:bookmarkEnd w:id="86"/>
    </w:p>
    <w:p>
      <w:pPr>
        <w:pStyle w:val="Normal"/>
        <w:spacing w:lineRule="auto" w:line="276" w:before="0" w:after="0"/>
        <w:rPr>
          <w:rFonts w:eastAsia="Arial Unicode MS"/>
          <w:color w:val="0070C0"/>
          <w:sz w:val="24"/>
          <w:lang w:val="el-GR"/>
        </w:rPr>
      </w:pPr>
      <w:r>
        <w:rPr>
          <w:rFonts w:eastAsia="Arial Unicode MS"/>
          <w:color w:val="0070C0"/>
          <w:sz w:val="24"/>
          <w:lang w:val="el-GR"/>
        </w:rPr>
      </w:r>
    </w:p>
    <w:p>
      <w:pPr>
        <w:pStyle w:val="2"/>
        <w:spacing w:lineRule="auto" w:line="276" w:before="0" w:after="0"/>
        <w:ind w:left="207" w:right="0" w:hanging="567"/>
        <w:rPr>
          <w:rFonts w:ascii="Calibri" w:hAnsi="Calibri" w:eastAsia="Arial Unicode MS" w:cs="Calibri"/>
          <w:sz w:val="24"/>
          <w:szCs w:val="24"/>
          <w:lang w:val="el-GR"/>
        </w:rPr>
      </w:pPr>
      <w:bookmarkStart w:id="87" w:name="__RefHeading___Toc35583_1890191151"/>
      <w:bookmarkStart w:id="88" w:name="_Toc6819722"/>
      <w:bookmarkStart w:id="89" w:name="_Toc127963064"/>
      <w:bookmarkStart w:id="90" w:name="_Toc4925394611"/>
      <w:bookmarkEnd w:id="87"/>
      <w:bookmarkEnd w:id="90"/>
      <w:r>
        <w:rPr>
          <w:rFonts w:eastAsia="Arial Unicode MS" w:cs="Calibri" w:ascii="Calibri" w:hAnsi="Calibri"/>
          <w:sz w:val="24"/>
          <w:szCs w:val="24"/>
          <w:lang w:val="el-GR"/>
        </w:rPr>
        <w:t>2.3</w:t>
        <w:tab/>
        <w:t>Κριτήρια Ανάθεσης</w:t>
      </w:r>
      <w:bookmarkEnd w:id="88"/>
      <w:bookmarkEnd w:id="89"/>
    </w:p>
    <w:p>
      <w:pPr>
        <w:pStyle w:val="Normal"/>
        <w:rPr>
          <w:rFonts w:ascii="Calibri" w:hAnsi="Calibri" w:eastAsia="Times New Roman" w:cs="Calibri"/>
          <w:color w:val="auto"/>
          <w:kern w:val="0"/>
          <w:sz w:val="24"/>
          <w:szCs w:val="24"/>
          <w:lang w:val="el-GR" w:eastAsia="zh-CN" w:bidi="ar-SA"/>
        </w:rPr>
      </w:pPr>
      <w:bookmarkStart w:id="91" w:name="__RefHeading___Toc35585_1890191151"/>
      <w:bookmarkStart w:id="92" w:name="_Toc127963065"/>
      <w:bookmarkStart w:id="93" w:name="_Toc492539462"/>
      <w:bookmarkEnd w:id="91"/>
      <w:bookmarkEnd w:id="93"/>
      <w:r>
        <w:rPr>
          <w:rFonts w:eastAsia="Times New Roman" w:cs="Calibri"/>
          <w:color w:val="auto"/>
          <w:kern w:val="0"/>
          <w:sz w:val="24"/>
          <w:szCs w:val="24"/>
          <w:lang w:val="el-GR" w:eastAsia="zh-CN" w:bidi="ar-SA"/>
        </w:rPr>
        <w:t>Κριτήριο ανάθεσης είναι η πλέον συμφέρουσα, από οικονομικής άποψης προσφορά, βάσει τιμής ανά τμήμα.</w:t>
      </w:r>
      <w:bookmarkEnd w:id="92"/>
      <w:r>
        <w:rPr>
          <w:rFonts w:eastAsia="Times New Roman" w:cs="Calibri"/>
          <w:color w:val="auto"/>
          <w:kern w:val="0"/>
          <w:sz w:val="24"/>
          <w:szCs w:val="24"/>
          <w:lang w:val="el-GR" w:eastAsia="zh-CN" w:bidi="ar-SA"/>
        </w:rPr>
        <w:t xml:space="preserve"> </w:t>
      </w:r>
    </w:p>
    <w:p>
      <w:pPr>
        <w:pStyle w:val="Normal"/>
        <w:spacing w:lineRule="auto" w:line="276"/>
        <w:rPr/>
      </w:pPr>
      <w:r>
        <w:rPr>
          <w:sz w:val="24"/>
          <w:lang w:val="el-GR"/>
        </w:rPr>
        <w:t>Οι συμμετέχοντες μπορούν να υποβάλουν προσφορά για ένα Τμήμα, για περισσότερα ή για όλα (4) τα Τμήματα. Οι προσφορές που θα υποβληθούν θα αφορούν στο σύνολο των ζητούμενων υπηρεσιών ανά Τμήμα, σύμφωνα με τις τεχνικές προδιαγραφές. Προσφορά που δεν καλύπτει το σύνολο των ζητούμενων υπηρεσιών ανά Τμήμα, θα απορρίπτεται ως απαράδεκτη.</w:t>
      </w:r>
    </w:p>
    <w:p>
      <w:pPr>
        <w:pStyle w:val="Normal"/>
        <w:spacing w:lineRule="auto" w:line="276" w:before="0" w:after="0"/>
        <w:ind w:left="0" w:right="-62" w:hanging="0"/>
        <w:rPr>
          <w:rFonts w:eastAsia="Arial Unicode MS"/>
          <w:b/>
          <w:b/>
          <w:sz w:val="24"/>
          <w:u w:val="single"/>
          <w:lang w:val="el-GR"/>
        </w:rPr>
      </w:pPr>
      <w:r>
        <w:rPr>
          <w:rFonts w:eastAsia="Arial Unicode MS"/>
          <w:b/>
          <w:sz w:val="24"/>
          <w:u w:val="single"/>
          <w:lang w:val="el-GR"/>
        </w:rPr>
      </w:r>
    </w:p>
    <w:p>
      <w:pPr>
        <w:pStyle w:val="2"/>
        <w:spacing w:lineRule="auto" w:line="276" w:before="0" w:after="0"/>
        <w:ind w:left="207" w:right="0" w:hanging="567"/>
        <w:rPr/>
      </w:pPr>
      <w:bookmarkStart w:id="94" w:name="__RefHeading___Toc35587_1890191151"/>
      <w:bookmarkStart w:id="95" w:name="_Toc492539463"/>
      <w:bookmarkStart w:id="96" w:name="_Toc127963066"/>
      <w:bookmarkEnd w:id="94"/>
      <w:r>
        <w:rPr>
          <w:rFonts w:eastAsia="Arial Unicode MS" w:cs="Calibri" w:ascii="Calibri" w:hAnsi="Calibri"/>
          <w:sz w:val="24"/>
          <w:szCs w:val="24"/>
          <w:lang w:val="el-GR"/>
        </w:rPr>
        <w:t>2.4</w:t>
        <w:tab/>
        <w:t>Κατάρτιση - Περιεχόμενο Προσφορών</w:t>
      </w:r>
      <w:bookmarkEnd w:id="95"/>
      <w:bookmarkEnd w:id="96"/>
      <w:r>
        <w:rPr>
          <w:rFonts w:eastAsia="Arial Unicode MS" w:cs="Calibri" w:ascii="Calibri" w:hAnsi="Calibri"/>
          <w:sz w:val="24"/>
          <w:szCs w:val="24"/>
          <w:lang w:val="el-GR"/>
        </w:rPr>
        <w:t xml:space="preserve">                                                                 </w:t>
      </w:r>
    </w:p>
    <w:p>
      <w:pPr>
        <w:pStyle w:val="3"/>
        <w:spacing w:lineRule="auto" w:line="276" w:before="120" w:after="0"/>
        <w:ind w:left="210" w:right="0" w:hanging="567"/>
        <w:rPr>
          <w:rFonts w:ascii="Calibri" w:hAnsi="Calibri" w:eastAsia="Arial Unicode MS" w:cs="Calibri"/>
          <w:sz w:val="24"/>
          <w:szCs w:val="24"/>
          <w:lang w:val="el-GR"/>
        </w:rPr>
      </w:pPr>
      <w:bookmarkStart w:id="97" w:name="__RefHeading___Toc35589_1890191151"/>
      <w:bookmarkStart w:id="98" w:name="_Toc492539464"/>
      <w:bookmarkStart w:id="99" w:name="_Toc127963067"/>
      <w:bookmarkEnd w:id="97"/>
      <w:r>
        <w:rPr>
          <w:rFonts w:eastAsia="Arial Unicode MS" w:cs="Calibri" w:ascii="Calibri" w:hAnsi="Calibri"/>
          <w:sz w:val="24"/>
          <w:szCs w:val="24"/>
          <w:lang w:val="el-GR"/>
        </w:rPr>
        <w:t>2.4.1</w:t>
        <w:tab/>
        <w:t xml:space="preserve"> Γενικοί όροι υποβολής προσφορών</w:t>
      </w:r>
      <w:bookmarkEnd w:id="98"/>
      <w:bookmarkEnd w:id="99"/>
    </w:p>
    <w:p>
      <w:pPr>
        <w:pStyle w:val="Normal"/>
        <w:spacing w:lineRule="auto" w:line="276" w:before="0" w:after="0"/>
        <w:rPr/>
      </w:pPr>
      <w:r>
        <w:rPr>
          <w:rFonts w:eastAsia="Arial Unicode MS"/>
          <w:sz w:val="24"/>
          <w:lang w:val="el-GR"/>
        </w:rPr>
        <w:t xml:space="preserve">Οι προσφορές υποβάλλονται με βάση τις απαιτήσεις που ορίζονται στα </w:t>
      </w:r>
      <w:r>
        <w:rPr>
          <w:rFonts w:eastAsia="Arial Unicode MS"/>
          <w:b/>
          <w:sz w:val="24"/>
          <w:lang w:val="el-GR"/>
        </w:rPr>
        <w:t xml:space="preserve">Παράρτημα </w:t>
      </w:r>
      <w:r>
        <w:rPr>
          <w:rFonts w:eastAsia="Arial Unicode MS"/>
          <w:b/>
          <w:sz w:val="24"/>
          <w:lang w:val="en-US"/>
        </w:rPr>
        <w:t>II</w:t>
      </w:r>
      <w:r>
        <w:rPr>
          <w:rFonts w:eastAsia="Arial Unicode MS"/>
          <w:sz w:val="24"/>
          <w:lang w:val="el-GR"/>
        </w:rPr>
        <w:t xml:space="preserve"> της Διακήρυξης για όλες τις  περιγραφόμενες υπηρεσίες στο σύνολό τους.</w:t>
      </w:r>
    </w:p>
    <w:p>
      <w:pPr>
        <w:pStyle w:val="Normal"/>
        <w:spacing w:lineRule="auto" w:line="276" w:before="0" w:after="0"/>
        <w:rPr>
          <w:rFonts w:eastAsia="Arial Unicode MS"/>
          <w:sz w:val="24"/>
          <w:lang w:val="el-GR"/>
        </w:rPr>
      </w:pPr>
      <w:r>
        <w:rPr>
          <w:rFonts w:eastAsia="Arial Unicode MS"/>
          <w:sz w:val="24"/>
          <w:lang w:val="el-GR"/>
        </w:rPr>
        <w:t xml:space="preserve">Δεν επιτρέπονται εναλλακτικές προσφορές. </w:t>
      </w:r>
    </w:p>
    <w:p>
      <w:pPr>
        <w:pStyle w:val="Normal"/>
        <w:spacing w:lineRule="auto" w:line="276" w:before="0" w:after="0"/>
        <w:rPr/>
      </w:pPr>
      <w:r>
        <w:rPr>
          <w:rFonts w:eastAsia="Arial Unicode MS"/>
          <w:color w:val="000000"/>
          <w:sz w:val="24"/>
          <w:u w:val="single"/>
          <w:lang w:val="el-GR"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Pr>
          <w:rFonts w:eastAsia="Arial Unicode MS"/>
          <w:color w:val="000000"/>
          <w:sz w:val="24"/>
          <w:lang w:val="el-GR" w:eastAsia="el-GR"/>
        </w:rPr>
        <w:t>.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Style14"/>
          <w:rStyle w:val="Style14"/>
          <w:rFonts w:eastAsia="Arial Unicode MS"/>
          <w:color w:val="000000"/>
          <w:sz w:val="24"/>
          <w:lang w:val="el-GR" w:eastAsia="el-GR"/>
        </w:rPr>
        <w:footnoteReference w:id="49"/>
      </w:r>
      <w:r>
        <w:rPr>
          <w:rFonts w:eastAsia="Arial Unicode MS"/>
          <w:color w:val="000000"/>
          <w:sz w:val="24"/>
          <w:lang w:val="el-GR" w:eastAsia="el-GR"/>
        </w:rPr>
        <w:t>.</w:t>
      </w:r>
    </w:p>
    <w:p>
      <w:pPr>
        <w:pStyle w:val="Normal"/>
        <w:spacing w:lineRule="auto" w:line="276" w:before="0" w:after="0"/>
        <w:rPr/>
      </w:pPr>
      <w:r>
        <w:rPr>
          <w:rFonts w:eastAsia="Arial Unicode MS"/>
          <w:color w:val="000000"/>
          <w:sz w:val="24"/>
          <w:lang w:val="el-GR" w:eastAsia="el-GR"/>
        </w:rPr>
        <w:t xml:space="preserve">Οι οικονομικοί φορείς </w:t>
      </w:r>
      <w:r>
        <w:rPr>
          <w:rFonts w:eastAsia="Arial Unicode MS"/>
          <w:color w:val="000000"/>
          <w:sz w:val="24"/>
          <w:u w:val="single"/>
          <w:lang w:val="el-GR" w:eastAsia="el-GR"/>
        </w:rPr>
        <w:t>μπορούν να αποσύρουν την προσφορά</w:t>
      </w:r>
      <w:r>
        <w:rPr>
          <w:rFonts w:eastAsia="Arial Unicode MS"/>
          <w:color w:val="000000"/>
          <w:sz w:val="24"/>
          <w:lang w:val="el-GR" w:eastAsia="el-GR"/>
        </w:rPr>
        <w:t xml:space="preserve"> τους, πριν την καταληκτική ημερομηνία υποβολής προσφοράς, χωρίς να απαιτείται έγκριση εκ μέρους του αποφαινόμενου οργάνου του </w:t>
      </w:r>
      <w:r>
        <w:rPr>
          <w:rFonts w:eastAsia="Arial Unicode MS"/>
          <w:color w:val="000000"/>
          <w:sz w:val="24"/>
          <w:lang w:val="en-US" w:eastAsia="el-GR"/>
        </w:rPr>
        <w:t>e</w:t>
      </w:r>
      <w:r>
        <w:rPr>
          <w:rFonts w:eastAsia="Arial Unicode MS"/>
          <w:color w:val="000000"/>
          <w:sz w:val="24"/>
          <w:lang w:val="el-GR" w:eastAsia="el-GR"/>
        </w:rPr>
        <w:t xml:space="preserve">-ΕΦΚΑ, υποβάλλοντας έγγραφη ειδοποίηση προς τον </w:t>
      </w:r>
      <w:r>
        <w:rPr>
          <w:rFonts w:eastAsia="Arial Unicode MS"/>
          <w:color w:val="000000"/>
          <w:sz w:val="24"/>
          <w:lang w:val="en-US" w:eastAsia="el-GR"/>
        </w:rPr>
        <w:t>e</w:t>
      </w:r>
      <w:r>
        <w:rPr>
          <w:rFonts w:eastAsia="Arial Unicode MS"/>
          <w:color w:val="000000"/>
          <w:sz w:val="24"/>
          <w:lang w:val="el-GR" w:eastAsia="el-GR"/>
        </w:rPr>
        <w:t>-ΕΦΚΑ μέσω της λειτουργικότητας «Επικοινωνία» του ΕΣΗΔΗΣ.</w:t>
      </w:r>
    </w:p>
    <w:p>
      <w:pPr>
        <w:pStyle w:val="3"/>
        <w:spacing w:lineRule="auto" w:line="276" w:before="120" w:after="0"/>
        <w:ind w:left="210" w:right="0" w:hanging="567"/>
        <w:rPr/>
      </w:pPr>
      <w:bookmarkStart w:id="100" w:name="__RefHeading___Toc35591_1890191151"/>
      <w:bookmarkStart w:id="101" w:name="_Toc492539465"/>
      <w:bookmarkStart w:id="102" w:name="_Toc127963068"/>
      <w:bookmarkEnd w:id="100"/>
      <w:r>
        <w:rPr>
          <w:rFonts w:eastAsia="Arial Unicode MS" w:cs="Calibri" w:ascii="Calibri" w:hAnsi="Calibri"/>
          <w:sz w:val="24"/>
          <w:szCs w:val="24"/>
          <w:lang w:val="el-GR"/>
        </w:rPr>
        <w:t>2.4.2</w:t>
        <w:tab/>
        <w:t xml:space="preserve"> Χρόνος και Τρόπος υποβολής προσφορών</w:t>
      </w:r>
      <w:bookmarkEnd w:id="101"/>
      <w:bookmarkEnd w:id="102"/>
      <w:r>
        <w:rPr>
          <w:rFonts w:eastAsia="Arial Unicode MS" w:cs="Calibri" w:ascii="Calibri" w:hAnsi="Calibri"/>
          <w:sz w:val="24"/>
          <w:szCs w:val="24"/>
          <w:lang w:val="el-GR"/>
        </w:rPr>
        <w:t xml:space="preserve"> </w:t>
      </w:r>
    </w:p>
    <w:p>
      <w:pPr>
        <w:pStyle w:val="Normal"/>
        <w:spacing w:lineRule="auto" w:line="276" w:before="0" w:after="0"/>
        <w:rPr/>
      </w:pPr>
      <w:r>
        <w:rPr>
          <w:rFonts w:eastAsia="Arial Unicode MS"/>
          <w:b/>
          <w:sz w:val="24"/>
          <w:lang w:val="el-GR"/>
        </w:rPr>
        <w:t>2.4.2.1</w:t>
      </w:r>
      <w:r>
        <w:rPr>
          <w:rFonts w:eastAsia="Arial Unicode MS"/>
          <w:sz w:val="24"/>
          <w:lang w:val="el-GR"/>
        </w:rPr>
        <w:t xml:space="preserve">. </w:t>
      </w:r>
      <w:r>
        <w:rPr>
          <w:rFonts w:eastAsia="Arial Unicode MS"/>
          <w:b/>
          <w:sz w:val="24"/>
          <w:lang w:val="el-GR"/>
        </w:rPr>
        <w:t xml:space="preserve">Οι προσφορές υποβάλλονται από τους ενδιαφερόμενους ηλεκτρονικά, μέσω της διαδικτυακής πύλης </w:t>
      </w:r>
      <w:r>
        <w:rPr>
          <w:rStyle w:val="Style7"/>
          <w:rFonts w:eastAsia="Arial Unicode MS"/>
          <w:b/>
          <w:sz w:val="24"/>
          <w:lang w:val="en-US"/>
        </w:rPr>
        <w:t>www</w:t>
      </w:r>
      <w:r>
        <w:rPr>
          <w:rStyle w:val="Style7"/>
          <w:rFonts w:eastAsia="Arial Unicode MS"/>
          <w:b/>
          <w:sz w:val="24"/>
          <w:lang w:val="el-GR"/>
        </w:rPr>
        <w:t>.</w:t>
      </w:r>
      <w:r>
        <w:rPr>
          <w:rStyle w:val="Style7"/>
          <w:rFonts w:eastAsia="Arial Unicode MS"/>
          <w:b/>
          <w:sz w:val="24"/>
          <w:lang w:val="en-US"/>
        </w:rPr>
        <w:t>promitheus</w:t>
      </w:r>
      <w:r>
        <w:rPr>
          <w:rStyle w:val="Style7"/>
          <w:rFonts w:eastAsia="Arial Unicode MS"/>
          <w:b/>
          <w:sz w:val="24"/>
          <w:lang w:val="el-GR"/>
        </w:rPr>
        <w:t>.</w:t>
      </w:r>
      <w:r>
        <w:rPr>
          <w:rStyle w:val="Style7"/>
          <w:rFonts w:eastAsia="Arial Unicode MS"/>
          <w:b/>
          <w:sz w:val="24"/>
          <w:lang w:val="en-US"/>
        </w:rPr>
        <w:t>gov</w:t>
      </w:r>
      <w:r>
        <w:rPr>
          <w:rStyle w:val="Style7"/>
          <w:rFonts w:eastAsia="Arial Unicode MS"/>
          <w:b/>
          <w:sz w:val="24"/>
          <w:lang w:val="el-GR"/>
        </w:rPr>
        <w:t>.</w:t>
      </w:r>
      <w:r>
        <w:rPr>
          <w:rStyle w:val="Style7"/>
          <w:rFonts w:eastAsia="Arial Unicode MS"/>
          <w:b/>
          <w:sz w:val="24"/>
          <w:lang w:val="en-US"/>
        </w:rPr>
        <w:t>gr</w:t>
      </w:r>
      <w:r>
        <w:rPr>
          <w:rFonts w:eastAsia="Arial Unicode MS"/>
          <w:b/>
          <w:sz w:val="24"/>
          <w:lang w:val="el-GR"/>
        </w:rPr>
        <w:t xml:space="preserve"> του ΕΣΗΔΗΣ, μέχρι την καταληκτική ημερομηνία και ώρα που ορίζει η παρούσα διακήρυξη</w:t>
      </w:r>
      <w:r>
        <w:rPr>
          <w:rFonts w:eastAsia="Arial Unicode MS"/>
          <w:sz w:val="24"/>
          <w:lang w:val="el-GR"/>
        </w:rPr>
        <w:t xml:space="preserve"> (</w:t>
      </w:r>
      <w:r>
        <w:rPr>
          <w:rFonts w:eastAsia="Arial Unicode MS"/>
          <w:b/>
          <w:sz w:val="24"/>
          <w:lang w:val="el-GR"/>
        </w:rPr>
        <w:t>άρθρο 1.5</w:t>
      </w:r>
      <w:r>
        <w:rPr>
          <w:rFonts w:eastAsia="Arial Unicode MS"/>
          <w:sz w:val="24"/>
          <w:lang w:val="el-GR"/>
        </w:rPr>
        <w:t xml:space="preserve">), στην Ελληνική Γλώσσα, σε ηλεκτρονικό φάκελο, σύμφωνα με τα αναφερόμενα στον ν.4412/2016, ιδίως στα άρθρα 36 και 37 και στην κατ’ εξουσιοδότηση των διατάξεων της παρ. 5 του άρθρου 36 του ν.4412/2016 εκδοθείσα με αρ. </w:t>
      </w:r>
      <w:r>
        <w:rPr>
          <w:rFonts w:eastAsia="Arial Unicode MS"/>
          <w:b/>
          <w:sz w:val="24"/>
          <w:lang w:val="el-GR"/>
        </w:rPr>
        <w:t xml:space="preserve">64233/21 </w:t>
      </w:r>
      <w:r>
        <w:rPr>
          <w:rFonts w:eastAsia="Arial Unicode MS"/>
          <w:sz w:val="24"/>
          <w:lang w:val="el-GR"/>
        </w:rPr>
        <w:t>(ΦΕΚ 2453/Β’/09-06-2021) Κοινή Απόφαση των Υπουργών Ανάπτυξης και Επενδύσεων και Ψηφιακής Διακυβέρνησης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pPr>
        <w:pStyle w:val="Normal"/>
        <w:spacing w:lineRule="auto" w:line="276" w:before="0" w:after="0"/>
        <w:rPr/>
      </w:pPr>
      <w:r>
        <w:rPr>
          <w:rFonts w:eastAsia="Arial Unicode MS"/>
          <w:b/>
          <w:sz w:val="24"/>
          <w:lang w:val="el-GR"/>
        </w:rPr>
        <w:t xml:space="preserve">Για τη συμμετοχή στο διαγωνισμό οι ενδιαφερόμενοι οικονομικοί φορείς απαιτείται να διαθέτουν προηγμένη </w:t>
      </w:r>
      <w:r>
        <w:rPr>
          <w:rFonts w:eastAsia="Arial Unicode MS"/>
          <w:b/>
          <w:sz w:val="24"/>
          <w:u w:val="single"/>
          <w:lang w:val="el-GR"/>
        </w:rPr>
        <w:t>ηλεκτρονική υπογραφή</w:t>
      </w:r>
      <w:r>
        <w:rPr>
          <w:rFonts w:eastAsia="Arial Unicode MS"/>
          <w:b/>
          <w:sz w:val="24"/>
          <w:lang w:val="el-GR"/>
        </w:rPr>
        <w:t xml:space="preserve"> </w:t>
      </w:r>
      <w:r>
        <w:rPr>
          <w:rFonts w:eastAsia="Arial Unicode MS"/>
          <w:sz w:val="24"/>
          <w:lang w:val="el-GR"/>
        </w:rPr>
        <w:t>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w:t>
      </w:r>
    </w:p>
    <w:p>
      <w:pPr>
        <w:pStyle w:val="Normal"/>
        <w:spacing w:lineRule="auto" w:line="276" w:before="120" w:after="0"/>
        <w:rPr/>
      </w:pPr>
      <w:r>
        <w:rPr>
          <w:rFonts w:eastAsia="Arial Unicode MS"/>
          <w:b/>
          <w:bCs/>
          <w:sz w:val="24"/>
          <w:lang w:val="el-GR"/>
        </w:rPr>
        <w:t>2.4.2.2.</w:t>
      </w:r>
      <w:r>
        <w:rPr>
          <w:rFonts w:eastAsia="Arial Unicode MS"/>
          <w:sz w:val="24"/>
          <w:lang w:val="el-GR"/>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pPr>
        <w:pStyle w:val="Normal"/>
        <w:spacing w:lineRule="auto" w:line="276" w:before="120" w:after="0"/>
        <w:rPr/>
      </w:pPr>
      <w:r>
        <w:rPr>
          <w:rFonts w:eastAsia="Arial Unicode MS"/>
          <w:sz w:val="24"/>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Pr>
          <w:rStyle w:val="Style14"/>
          <w:rStyle w:val="Style14"/>
          <w:rFonts w:eastAsia="Arial Unicode MS" w:cs="Calibri"/>
          <w:sz w:val="24"/>
          <w:lang w:val="el-GR"/>
        </w:rPr>
        <w:footnoteReference w:id="50"/>
      </w:r>
      <w:r>
        <w:rPr>
          <w:rFonts w:eastAsia="Arial Unicode MS"/>
          <w:color w:val="000000"/>
          <w:sz w:val="24"/>
          <w:lang w:val="el-GR"/>
        </w:rPr>
        <w:t>.</w:t>
      </w:r>
    </w:p>
    <w:p>
      <w:pPr>
        <w:pStyle w:val="Normal"/>
        <w:spacing w:lineRule="auto" w:line="276" w:before="120" w:after="0"/>
        <w:rPr/>
      </w:pPr>
      <w:r>
        <w:rPr>
          <w:rFonts w:eastAsia="Arial Unicode MS"/>
          <w:b/>
          <w:bCs/>
          <w:sz w:val="24"/>
          <w:lang w:val="el-GR"/>
        </w:rPr>
        <w:t>2.4.2.3.</w:t>
      </w:r>
      <w:r>
        <w:rPr>
          <w:rFonts w:eastAsia="Arial Unicode MS"/>
          <w:b/>
          <w:sz w:val="24"/>
          <w:lang w:val="el-GR"/>
        </w:rPr>
        <w:t xml:space="preserve"> Οι οικονομικοί φορείς </w:t>
      </w:r>
      <w:r>
        <w:rPr>
          <w:rFonts w:eastAsia="Arial Unicode MS"/>
          <w:b/>
          <w:sz w:val="24"/>
          <w:u w:val="single"/>
          <w:lang w:val="el-GR"/>
        </w:rPr>
        <w:t>υποβάλλουν με την προσφορά τους τα ακόλουθα</w:t>
      </w:r>
      <w:r>
        <w:rPr>
          <w:rFonts w:eastAsia="Arial Unicode MS"/>
          <w:b/>
          <w:sz w:val="24"/>
          <w:lang w:val="el-GR"/>
        </w:rPr>
        <w:t>, σύμφωνα με τις διατάξεις του άρθρου 13 της Κ.Υ.Α. ΕΣΗΔΗΣ Προμήθειες και Υπηρεσίες</w:t>
      </w:r>
      <w:r>
        <w:rPr>
          <w:rFonts w:eastAsia="Arial Unicode MS"/>
          <w:sz w:val="24"/>
          <w:lang w:val="el-GR"/>
        </w:rPr>
        <w:t xml:space="preserve">: </w:t>
      </w:r>
    </w:p>
    <w:p>
      <w:pPr>
        <w:pStyle w:val="Normal"/>
        <w:spacing w:lineRule="auto" w:line="276" w:before="120" w:after="0"/>
        <w:rPr/>
      </w:pPr>
      <w:r>
        <w:rPr>
          <w:rFonts w:eastAsia="Arial Unicode MS"/>
          <w:b/>
          <w:sz w:val="24"/>
          <w:lang w:val="el-GR"/>
        </w:rPr>
        <w:t>(α)</w:t>
      </w:r>
      <w:r>
        <w:rPr>
          <w:rFonts w:eastAsia="Arial Unicode MS"/>
          <w:sz w:val="24"/>
          <w:lang w:val="el-GR"/>
        </w:rPr>
        <w:t xml:space="preserve"> έναν </w:t>
      </w:r>
      <w:r>
        <w:rPr>
          <w:rFonts w:eastAsia="Arial Unicode MS"/>
          <w:b/>
          <w:sz w:val="24"/>
          <w:lang w:val="el-GR"/>
        </w:rPr>
        <w:t>ηλεκτρονικό (υπο) φάκελο με την ένδειξη</w:t>
      </w:r>
      <w:r>
        <w:rPr>
          <w:rFonts w:eastAsia="Arial Unicode MS"/>
          <w:sz w:val="24"/>
          <w:lang w:val="el-GR"/>
        </w:rPr>
        <w:t xml:space="preserve"> </w:t>
      </w:r>
      <w:r>
        <w:rPr>
          <w:rFonts w:eastAsia="Arial Unicode MS"/>
          <w:b/>
          <w:sz w:val="24"/>
          <w:lang w:val="el-GR"/>
        </w:rPr>
        <w:t>«Δικαιολογητικά Συμμετοχής –Τεχνική Προσφορά»</w:t>
      </w:r>
      <w:r>
        <w:rPr>
          <w:rFonts w:eastAsia="Arial Unicode MS"/>
          <w:sz w:val="24"/>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pPr>
        <w:pStyle w:val="Normal"/>
        <w:spacing w:lineRule="auto" w:line="276" w:before="120" w:after="120"/>
        <w:rPr/>
      </w:pPr>
      <w:r>
        <w:rPr>
          <w:rFonts w:eastAsia="Arial Unicode MS"/>
          <w:b/>
          <w:sz w:val="24"/>
          <w:lang w:val="el-GR"/>
        </w:rPr>
        <w:t>(β)</w:t>
      </w:r>
      <w:r>
        <w:rPr>
          <w:rFonts w:eastAsia="Arial Unicode MS"/>
          <w:sz w:val="24"/>
          <w:lang w:val="el-GR"/>
        </w:rPr>
        <w:t xml:space="preserve"> έναν </w:t>
      </w:r>
      <w:r>
        <w:rPr>
          <w:rFonts w:eastAsia="Arial Unicode MS"/>
          <w:b/>
          <w:sz w:val="24"/>
          <w:lang w:val="el-GR"/>
        </w:rPr>
        <w:t>ηλεκτρονικό (υπο) φάκελο με την ένδειξη</w:t>
      </w:r>
      <w:r>
        <w:rPr>
          <w:rFonts w:eastAsia="Arial Unicode MS"/>
          <w:sz w:val="24"/>
          <w:lang w:val="el-GR"/>
        </w:rPr>
        <w:t xml:space="preserve"> </w:t>
      </w:r>
      <w:r>
        <w:rPr>
          <w:rFonts w:eastAsia="Arial Unicode MS"/>
          <w:b/>
          <w:sz w:val="24"/>
          <w:lang w:val="el-GR"/>
        </w:rPr>
        <w:t>«Οικονομική Προσφορά»</w:t>
      </w:r>
      <w:r>
        <w:rPr>
          <w:rFonts w:eastAsia="Arial Unicode MS"/>
          <w:sz w:val="24"/>
          <w:lang w:val="el-GR"/>
        </w:rPr>
        <w:t xml:space="preserve"> στον οποίο περιλαμβάνεται η οικονομική προσφορά του οικονομικού φορέα και το σύνολο των τα κατά περίπτωση απαιτούμενων δικαιολογητικών.</w:t>
      </w:r>
    </w:p>
    <w:p>
      <w:pPr>
        <w:pStyle w:val="Normal"/>
        <w:spacing w:lineRule="auto" w:line="276"/>
        <w:rPr/>
      </w:pPr>
      <w:r>
        <w:rPr>
          <w:rFonts w:eastAsia="Arial Unicode MS"/>
          <w:sz w:val="24"/>
          <w:lang w:val="el-GR"/>
        </w:rPr>
        <w:t xml:space="preserve">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w:t>
      </w:r>
      <w:r>
        <w:rPr>
          <w:rFonts w:eastAsia="Arial Unicode MS"/>
          <w:b/>
          <w:sz w:val="24"/>
          <w:lang w:val="el-GR"/>
        </w:rPr>
        <w:t>εμπιστευτικές</w:t>
      </w:r>
      <w:r>
        <w:rPr>
          <w:rFonts w:eastAsia="Arial Unicode MS"/>
          <w:sz w:val="24"/>
          <w:lang w:val="el-GR"/>
        </w:rPr>
        <w:t>,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pPr>
        <w:pStyle w:val="Normal"/>
        <w:spacing w:lineRule="auto" w:line="276"/>
        <w:rPr>
          <w:rFonts w:eastAsia="Arial Unicode MS"/>
          <w:sz w:val="24"/>
          <w:lang w:val="el-GR"/>
        </w:rPr>
      </w:pPr>
      <w:r>
        <w:rPr>
          <w:rFonts w:eastAsia="Arial Unicode MS"/>
          <w:sz w:val="24"/>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pPr>
        <w:pStyle w:val="Normal"/>
        <w:spacing w:lineRule="auto" w:line="276"/>
        <w:rPr/>
      </w:pPr>
      <w:r>
        <w:rPr>
          <w:rFonts w:eastAsia="Arial Unicode MS"/>
          <w:b/>
          <w:bCs/>
          <w:sz w:val="24"/>
          <w:lang w:val="el-GR"/>
        </w:rPr>
        <w:t>2.4.2.4.</w:t>
      </w:r>
      <w:r>
        <w:rPr>
          <w:rFonts w:eastAsia="Arial Unicode MS"/>
          <w:b/>
          <w:sz w:val="24"/>
          <w:lang w:val="el-GR"/>
        </w:rPr>
        <w:t xml:space="preserve"> </w:t>
      </w:r>
      <w:r>
        <w:rPr>
          <w:rFonts w:eastAsia="Arial Unicode MS"/>
          <w:sz w:val="24"/>
          <w:lang w:val="el-GR"/>
        </w:rPr>
        <w:t xml:space="preserve">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w:t>
      </w:r>
    </w:p>
    <w:p>
      <w:pPr>
        <w:pStyle w:val="Normal"/>
        <w:spacing w:lineRule="auto" w:line="276" w:before="0" w:after="0"/>
        <w:rPr>
          <w:rFonts w:eastAsia="Arial Unicode MS"/>
          <w:sz w:val="24"/>
          <w:lang w:val="el-GR"/>
        </w:rPr>
      </w:pPr>
      <w:r>
        <w:rPr>
          <w:rFonts w:eastAsia="Arial Unicode MS"/>
          <w:sz w:val="24"/>
          <w:lang w:val="el-GR"/>
        </w:rPr>
        <w:t xml:space="preserve">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w:t>
      </w:r>
    </w:p>
    <w:p>
      <w:pPr>
        <w:pStyle w:val="Normal"/>
        <w:spacing w:lineRule="auto" w:line="276" w:before="0" w:after="0"/>
        <w:rPr/>
      </w:pPr>
      <w:r>
        <w:rPr>
          <w:rFonts w:eastAsia="Arial Unicode MS"/>
          <w:sz w:val="24"/>
          <w:lang w:val="el-GR"/>
        </w:rPr>
        <w:t>Επισημαίνεται ότι η εξαγωγή και η επισύναψη των προαναφερθέντων αναφορών (εκτυπώσεων) δύναται να πραγματοποιείται για κάθε υποφάκελο  ξεχωριστά, από τη στιγμή που έχει ολοκληρωθεί η καταχώριση των στοιχείων σε αυτόν</w:t>
      </w:r>
      <w:r>
        <w:rPr>
          <w:rStyle w:val="Style14"/>
          <w:rStyle w:val="Style14"/>
          <w:rFonts w:eastAsia="Arial Unicode MS" w:cs="Calibri"/>
          <w:sz w:val="24"/>
          <w:lang w:val="el-GR"/>
        </w:rPr>
        <w:footnoteReference w:id="51"/>
      </w:r>
      <w:r>
        <w:rPr>
          <w:rFonts w:eastAsia="Arial Unicode MS"/>
          <w:sz w:val="24"/>
          <w:lang w:val="el-GR"/>
        </w:rPr>
        <w:t>.</w:t>
      </w:r>
    </w:p>
    <w:p>
      <w:pPr>
        <w:pStyle w:val="Normal"/>
        <w:shd w:val="clear" w:color="auto" w:fill="F2F2F2"/>
        <w:spacing w:lineRule="auto" w:line="276" w:before="120" w:after="0"/>
        <w:rPr/>
      </w:pPr>
      <w:r>
        <w:rPr>
          <w:rFonts w:eastAsia="Arial Unicode MS"/>
          <w:b/>
          <w:iCs/>
          <w:sz w:val="24"/>
          <w:lang w:val="el-GR"/>
        </w:rPr>
        <w:t xml:space="preserve">Εφόσον οι τεχνικές προδιαγραφές και οι οικονομικοί όροι δεν έχουν αποτυπωθεί στο σύνολό τους στις ειδικές ηλεκτρονικές φόρμες του ΕΣΗΔΗΣ, οι προσφέροντες υποχρεούνται να επισυνάπτουν ηλεκτρονικά υπογεγραμμένα τα σχετικά ηλεκτρονικά αρχεία σε μορφή </w:t>
      </w:r>
      <w:r>
        <w:rPr>
          <w:rFonts w:eastAsia="Arial Unicode MS"/>
          <w:b/>
          <w:iCs/>
          <w:sz w:val="24"/>
          <w:lang w:val="en-US"/>
        </w:rPr>
        <w:t>pdf</w:t>
      </w:r>
      <w:r>
        <w:rPr>
          <w:rFonts w:eastAsia="Arial Unicode MS"/>
          <w:b/>
          <w:iCs/>
          <w:sz w:val="24"/>
          <w:lang w:val="el-GR"/>
        </w:rPr>
        <w:t xml:space="preserve">. με την τεχνική και οικονομική τους προσφορά (Παράρτημα </w:t>
      </w:r>
      <w:r>
        <w:rPr>
          <w:rFonts w:eastAsia="Arial Unicode MS"/>
          <w:b/>
          <w:iCs/>
          <w:sz w:val="24"/>
          <w:lang w:val="en-US"/>
        </w:rPr>
        <w:t>I</w:t>
      </w:r>
      <w:r>
        <w:rPr>
          <w:rFonts w:eastAsia="Arial Unicode MS"/>
          <w:b/>
          <w:iCs/>
          <w:sz w:val="24"/>
          <w:lang w:val="el-GR"/>
        </w:rPr>
        <w:t>Ι).</w:t>
      </w:r>
      <w:r>
        <w:rPr>
          <w:rFonts w:eastAsia="Arial Unicode MS"/>
          <w:b/>
          <w:bCs/>
          <w:sz w:val="24"/>
          <w:lang w:val="el-GR"/>
        </w:rPr>
        <w:t xml:space="preserve"> </w:t>
      </w:r>
    </w:p>
    <w:p>
      <w:pPr>
        <w:pStyle w:val="Normal"/>
        <w:spacing w:lineRule="auto" w:line="276" w:before="120" w:after="0"/>
        <w:rPr/>
      </w:pPr>
      <w:r>
        <w:rPr>
          <w:rFonts w:eastAsia="Arial Unicode MS"/>
          <w:b/>
          <w:bCs/>
          <w:sz w:val="24"/>
          <w:lang w:val="el-GR"/>
        </w:rPr>
        <w:t>2.4.2.5.</w:t>
      </w:r>
      <w:r>
        <w:rPr>
          <w:rFonts w:eastAsia="Arial Unicode MS"/>
          <w:sz w:val="24"/>
          <w:lang w:val="el-GR"/>
        </w:rPr>
        <w:t xml:space="preserve"> Ειδικότερα, όσον αφορά τα συνημμένα ηλεκτρονικά αρχεία της προσφοράς, οι Οικονομικοί Φορείς τα καταχωρίζουν στους ανωτέρω (υπο) φακέλους μέσω του Υποσυστήματος, ως εξής :</w:t>
      </w:r>
    </w:p>
    <w:p>
      <w:pPr>
        <w:pStyle w:val="Normal"/>
        <w:spacing w:lineRule="auto" w:line="276" w:before="0" w:after="0"/>
        <w:rPr>
          <w:rFonts w:eastAsia="Arial Unicode MS"/>
          <w:b/>
          <w:b/>
          <w:sz w:val="24"/>
          <w:lang w:val="el-GR"/>
        </w:rPr>
      </w:pPr>
      <w:r>
        <w:rPr>
          <w:rFonts w:eastAsia="Arial Unicode MS"/>
          <w:b/>
          <w:sz w:val="24"/>
          <w:lang w:val="el-GR"/>
        </w:rPr>
      </w:r>
    </w:p>
    <w:p>
      <w:pPr>
        <w:pStyle w:val="Normal"/>
        <w:spacing w:lineRule="auto" w:line="276" w:before="0" w:after="0"/>
        <w:rPr/>
      </w:pPr>
      <w:r>
        <w:rPr>
          <w:rFonts w:eastAsia="Arial Unicode MS"/>
          <w:b/>
          <w:sz w:val="24"/>
          <w:lang w:val="el-GR"/>
        </w:rPr>
        <w:t>Τα έγγραφα που καταχωρίζονται στην ηλεκτρονική προσφορά,</w:t>
      </w:r>
      <w:r>
        <w:rPr>
          <w:rFonts w:eastAsia="Arial Unicode MS"/>
          <w:sz w:val="24"/>
          <w:lang w:val="el-GR"/>
        </w:rPr>
        <w:t xml:space="preserve"> και δεν απαιτείται να προσκομισθούν και σε έντυπη μορφή, γίνονται αποδεκτά κατά περίπτωση, </w:t>
      </w:r>
      <w:r>
        <w:rPr>
          <w:rFonts w:eastAsia="Arial Unicode MS"/>
          <w:b/>
          <w:sz w:val="24"/>
          <w:lang w:val="el-GR"/>
        </w:rPr>
        <w:t xml:space="preserve">σύμφωνα με τα προβλεπόμενα στις διατάξεις: </w:t>
      </w:r>
    </w:p>
    <w:p>
      <w:pPr>
        <w:pStyle w:val="Normal"/>
        <w:spacing w:lineRule="auto" w:line="276" w:before="0" w:after="0"/>
        <w:rPr/>
      </w:pPr>
      <w:r>
        <w:rPr>
          <w:rFonts w:eastAsia="Arial Unicode MS"/>
          <w:b/>
          <w:sz w:val="24"/>
          <w:lang w:val="el-GR"/>
        </w:rPr>
        <w:t xml:space="preserve">α) </w:t>
      </w:r>
      <w:r>
        <w:rPr>
          <w:rFonts w:eastAsia="Arial Unicode MS"/>
          <w:sz w:val="24"/>
          <w:lang w:val="el-GR"/>
        </w:rPr>
        <w:t>είτε των άρθρων 13, 14 και 28 του ν. 4727/2020 (Α΄ 184)</w:t>
      </w:r>
      <w:r>
        <w:rPr>
          <w:rFonts w:eastAsia="Arial Unicode MS"/>
          <w:b/>
          <w:sz w:val="24"/>
          <w:lang w:val="el-GR"/>
        </w:rPr>
        <w:t xml:space="preserve"> </w:t>
      </w:r>
      <w:r>
        <w:rPr>
          <w:rFonts w:eastAsia="Arial Unicode MS"/>
          <w:sz w:val="24"/>
          <w:lang w:val="el-GR"/>
        </w:rPr>
        <w:t xml:space="preserve">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Pr>
          <w:rFonts w:eastAsia="Arial Unicode MS"/>
          <w:sz w:val="24"/>
          <w:lang w:val="en-US"/>
        </w:rPr>
        <w:t>e</w:t>
      </w:r>
      <w:r>
        <w:rPr>
          <w:rFonts w:eastAsia="Arial Unicode MS"/>
          <w:sz w:val="24"/>
          <w:lang w:val="el-GR"/>
        </w:rPr>
        <w:t>-</w:t>
      </w:r>
      <w:r>
        <w:rPr>
          <w:rFonts w:eastAsia="Arial Unicode MS"/>
          <w:sz w:val="24"/>
          <w:lang w:val="en-US"/>
        </w:rPr>
        <w:t>Apostille</w:t>
      </w:r>
      <w:r>
        <w:rPr>
          <w:rFonts w:eastAsia="Arial Unicode MS"/>
          <w:sz w:val="24"/>
          <w:lang w:val="el-GR"/>
        </w:rPr>
        <w:t xml:space="preserve">. </w:t>
      </w:r>
    </w:p>
    <w:p>
      <w:pPr>
        <w:pStyle w:val="Normal"/>
        <w:spacing w:lineRule="auto" w:line="276" w:before="0" w:after="0"/>
        <w:rPr/>
      </w:pPr>
      <w:r>
        <w:rPr>
          <w:rFonts w:eastAsia="Arial Unicode MS"/>
          <w:b/>
          <w:sz w:val="24"/>
          <w:lang w:val="el-GR"/>
        </w:rPr>
        <w:t xml:space="preserve">β) </w:t>
      </w:r>
      <w:r>
        <w:rPr>
          <w:rFonts w:eastAsia="Arial Unicode MS"/>
          <w:sz w:val="24"/>
          <w:lang w:val="el-GR"/>
        </w:rPr>
        <w:t>είτε</w:t>
      </w:r>
      <w:r>
        <w:rPr>
          <w:rFonts w:eastAsia="Arial Unicode MS"/>
          <w:b/>
          <w:sz w:val="24"/>
          <w:lang w:val="el-GR"/>
        </w:rPr>
        <w:t xml:space="preserve"> </w:t>
      </w:r>
      <w:r>
        <w:rPr>
          <w:rFonts w:eastAsia="Arial Unicode MS"/>
          <w:sz w:val="24"/>
          <w:lang w:val="el-GR"/>
        </w:rPr>
        <w:t>των άρθρων 15 και 27</w:t>
      </w:r>
      <w:r>
        <w:rPr>
          <w:rStyle w:val="Style14"/>
          <w:rStyle w:val="Style14"/>
          <w:rFonts w:eastAsia="Arial Unicode MS" w:cs="Calibri"/>
          <w:sz w:val="24"/>
          <w:lang w:val="el-GR"/>
        </w:rPr>
        <w:footnoteReference w:id="52"/>
      </w:r>
      <w:r>
        <w:rPr>
          <w:rFonts w:eastAsia="Arial Unicode MS"/>
          <w:sz w:val="24"/>
          <w:lang w:val="el-GR"/>
        </w:rPr>
        <w:t xml:space="preserve"> του ν. 4727/2020 (Α΄ 184) περί ηλεκτρονικών ιδιωτικών εγγράφων που φέρουν ηλεκτρονική υπογραφή ή σφραγίδα. </w:t>
      </w:r>
    </w:p>
    <w:p>
      <w:pPr>
        <w:pStyle w:val="Normal"/>
        <w:spacing w:lineRule="auto" w:line="276" w:before="0" w:after="0"/>
        <w:rPr/>
      </w:pPr>
      <w:r>
        <w:rPr>
          <w:rFonts w:eastAsia="Arial Unicode MS"/>
          <w:b/>
          <w:sz w:val="24"/>
          <w:lang w:val="el-GR"/>
        </w:rPr>
        <w:t xml:space="preserve">γ) </w:t>
      </w:r>
      <w:r>
        <w:rPr>
          <w:rFonts w:eastAsia="Arial Unicode MS"/>
          <w:sz w:val="24"/>
          <w:lang w:val="el-GR"/>
        </w:rPr>
        <w:t>είτε</w:t>
      </w:r>
      <w:r>
        <w:rPr>
          <w:rFonts w:eastAsia="Arial Unicode MS"/>
          <w:b/>
          <w:sz w:val="24"/>
          <w:lang w:val="el-GR"/>
        </w:rPr>
        <w:t xml:space="preserve"> </w:t>
      </w:r>
      <w:r>
        <w:rPr>
          <w:rFonts w:eastAsia="Arial Unicode MS"/>
          <w:sz w:val="24"/>
          <w:lang w:val="el-GR"/>
        </w:rPr>
        <w:t>του άρθρου 11 του ν. 2690/1999 (Α΄ 45),</w:t>
      </w:r>
    </w:p>
    <w:p>
      <w:pPr>
        <w:pStyle w:val="Normal"/>
        <w:spacing w:lineRule="auto" w:line="276" w:before="0" w:after="0"/>
        <w:rPr/>
      </w:pPr>
      <w:r>
        <w:rPr>
          <w:rFonts w:eastAsia="Arial Unicode MS"/>
          <w:b/>
          <w:sz w:val="24"/>
          <w:lang w:val="el-GR"/>
        </w:rPr>
        <w:t xml:space="preserve">δ) </w:t>
      </w:r>
      <w:r>
        <w:rPr>
          <w:rFonts w:eastAsia="Arial Unicode MS"/>
          <w:sz w:val="24"/>
          <w:lang w:val="el-GR"/>
        </w:rPr>
        <w:t xml:space="preserve">είτε της παρ. 2 του άρθρου 37 του ν. 4412/2016, περί χρήσης ηλεκτρονικών υπογραφών σε ηλεκτρονικές διαδικασίες δημοσίων συμβάσεων,  </w:t>
      </w:r>
    </w:p>
    <w:p>
      <w:pPr>
        <w:pStyle w:val="Normal"/>
        <w:spacing w:lineRule="auto" w:line="276" w:before="0" w:after="0"/>
        <w:rPr/>
      </w:pPr>
      <w:r>
        <w:rPr>
          <w:rFonts w:eastAsia="Arial Unicode MS"/>
          <w:b/>
          <w:sz w:val="24"/>
          <w:lang w:val="el-GR"/>
        </w:rPr>
        <w:t xml:space="preserve">ε) </w:t>
      </w:r>
      <w:r>
        <w:rPr>
          <w:rFonts w:eastAsia="Arial Unicode MS"/>
          <w:sz w:val="24"/>
          <w:lang w:val="el-GR"/>
        </w:rPr>
        <w:t xml:space="preserve">είτε της παρ. 8 του άρθρου 92 του ν. 4412/2016, περί συνυποβολής υπεύθυνης δήλωσης στην περίπτωση απλής φωτοτυπίας ιδιωτικών εγγράφων. </w:t>
      </w:r>
      <w:r>
        <w:rPr>
          <w:rStyle w:val="Style14"/>
          <w:rStyle w:val="Style14"/>
          <w:rFonts w:eastAsia="Arial Unicode MS" w:cs="Calibri"/>
          <w:sz w:val="24"/>
          <w:lang w:val="el-GR"/>
        </w:rPr>
        <w:footnoteReference w:id="53"/>
      </w:r>
    </w:p>
    <w:p>
      <w:pPr>
        <w:pStyle w:val="Normal"/>
        <w:spacing w:lineRule="auto" w:line="276" w:before="0" w:after="0"/>
        <w:rPr/>
      </w:pPr>
      <w:r>
        <w:rPr>
          <w:rFonts w:eastAsia="Arial Unicode MS"/>
          <w:sz w:val="24"/>
          <w:lang w:val="el-GR"/>
        </w:rPr>
        <w:t>Επιπλέον,</w:t>
      </w:r>
      <w:r>
        <w:rPr>
          <w:rFonts w:eastAsia="Arial Unicode MS"/>
          <w:b/>
          <w:sz w:val="24"/>
          <w:lang w:val="el-GR"/>
        </w:rPr>
        <w:t xml:space="preserve"> </w:t>
      </w:r>
      <w:r>
        <w:rPr>
          <w:rFonts w:eastAsia="Arial Unicode MS"/>
          <w:sz w:val="24"/>
          <w:lang w:val="el-GR"/>
        </w:rPr>
        <w:t>δεν προσκομίζονται σε έντυπη μορφή τα ΦΕΚ</w:t>
      </w:r>
      <w:r>
        <w:rPr>
          <w:rStyle w:val="Style14"/>
          <w:rStyle w:val="Style14"/>
          <w:rFonts w:eastAsia="Arial Unicode MS" w:cs="Calibri"/>
          <w:sz w:val="24"/>
          <w:lang w:val="el-GR"/>
        </w:rPr>
        <w:footnoteReference w:id="54"/>
      </w:r>
      <w:r>
        <w:rPr>
          <w:rFonts w:eastAsia="Arial Unicode MS"/>
          <w:sz w:val="24"/>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pPr>
        <w:pStyle w:val="Normal"/>
        <w:spacing w:lineRule="auto" w:line="276"/>
        <w:rPr>
          <w:rFonts w:eastAsia="Arial Unicode MS"/>
          <w:sz w:val="24"/>
          <w:lang w:val="el-GR"/>
        </w:rPr>
      </w:pPr>
      <w:bookmarkStart w:id="103" w:name="_Hlk71366084"/>
      <w:r>
        <w:rPr>
          <w:rFonts w:eastAsia="Arial Unicode MS"/>
          <w:sz w:val="24"/>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 </w:t>
      </w:r>
      <w:bookmarkEnd w:id="103"/>
    </w:p>
    <w:p>
      <w:pPr>
        <w:pStyle w:val="Normal"/>
        <w:pBdr>
          <w:top w:val="single" w:sz="4" w:space="1" w:color="000000"/>
          <w:left w:val="single" w:sz="4" w:space="0" w:color="000000"/>
          <w:bottom w:val="single" w:sz="4" w:space="1" w:color="000000"/>
          <w:right w:val="single" w:sz="4" w:space="4" w:color="000000"/>
        </w:pBdr>
        <w:shd w:val="clear" w:color="auto" w:fill="F2F2F2"/>
        <w:spacing w:lineRule="auto" w:line="276"/>
        <w:rPr/>
      </w:pPr>
      <w:r>
        <w:rPr>
          <w:rFonts w:eastAsia="Arial Unicode MS"/>
          <w:b/>
          <w:sz w:val="24"/>
          <w:u w:val="single"/>
          <w:lang w:val="el-GR"/>
        </w:rPr>
        <w:t>Έως την ημέρα και ώρα ΑΠΟΣΦΡΑΓΙΣΗΣ</w:t>
      </w:r>
      <w:r>
        <w:rPr>
          <w:rFonts w:eastAsia="Arial Unicode MS"/>
          <w:b/>
          <w:sz w:val="24"/>
          <w:lang w:val="el-GR"/>
        </w:rPr>
        <w:t xml:space="preserve"> των προσφορών προσκομίζονται με ευθύνη του οικονομικού φορέα στην αναθέτουσα αρχή, σε</w:t>
      </w:r>
      <w:r>
        <w:rPr>
          <w:rFonts w:eastAsia="Arial Unicode MS"/>
          <w:b/>
          <w:sz w:val="24"/>
          <w:u w:val="single"/>
          <w:lang w:val="el-GR"/>
        </w:rPr>
        <w:t xml:space="preserve"> ΕΝΤΥΠΗ ΜΟΡΦΗ</w:t>
      </w:r>
      <w:r>
        <w:rPr>
          <w:rFonts w:eastAsia="Arial Unicode MS"/>
          <w:b/>
          <w:sz w:val="24"/>
          <w:lang w:val="el-GR"/>
        </w:rPr>
        <w:t xml:space="preserve"> και σε κλειστό/ούς φάκελο/-ους, στον οποίο αναγράφεται ο αποστολέας και ως παραλήπτης η Επιτροπή Διαγωνισμού του παρόντος διαγωνισμού, </w:t>
      </w:r>
      <w:r>
        <w:rPr>
          <w:rFonts w:eastAsia="Arial Unicode MS"/>
          <w:b/>
          <w:sz w:val="24"/>
          <w:u w:val="single"/>
          <w:lang w:val="el-GR"/>
        </w:rPr>
        <w:t>τα στοιχεία της ηλεκτρονικής προσφοράς</w:t>
      </w:r>
      <w:r>
        <w:rPr>
          <w:rFonts w:eastAsia="Arial Unicode MS"/>
          <w:b/>
          <w:sz w:val="24"/>
          <w:lang w:val="el-GR"/>
        </w:rPr>
        <w:t xml:space="preserve"> του, τα οποία απαιτείται να προσκομισθούν σε πρωτότυπη μορφή. </w:t>
      </w:r>
    </w:p>
    <w:p>
      <w:pPr>
        <w:pStyle w:val="Normal"/>
        <w:spacing w:lineRule="auto" w:line="276" w:before="240" w:after="0"/>
        <w:rPr>
          <w:rFonts w:eastAsia="Arial Unicode MS"/>
          <w:b/>
          <w:b/>
          <w:sz w:val="24"/>
          <w:lang w:val="el-GR"/>
        </w:rPr>
      </w:pPr>
      <w:r>
        <w:rPr>
          <w:rFonts w:eastAsia="Arial Unicode MS"/>
          <w:b/>
          <w:sz w:val="24"/>
          <w:lang w:val="el-GR"/>
        </w:rPr>
        <w:t>Τέτοια στοιχεία και δικαιολογητικά ενδεικτικά είναι:</w:t>
      </w:r>
    </w:p>
    <w:p>
      <w:pPr>
        <w:pStyle w:val="Normal"/>
        <w:spacing w:lineRule="auto" w:line="276" w:before="0" w:after="0"/>
        <w:rPr/>
      </w:pPr>
      <w:r>
        <w:rPr>
          <w:rFonts w:eastAsia="Arial Unicode MS"/>
          <w:sz w:val="24"/>
          <w:lang w:val="el-GR"/>
        </w:rPr>
        <w:t>α)</w:t>
      </w:r>
      <w:r>
        <w:rPr>
          <w:rFonts w:eastAsia="Arial Unicode MS"/>
          <w:b/>
          <w:sz w:val="24"/>
          <w:lang w:val="el-GR"/>
        </w:rPr>
        <w:t xml:space="preserve"> </w:t>
      </w:r>
      <w:r>
        <w:rPr>
          <w:rFonts w:eastAsia="Arial Unicode MS"/>
          <w:sz w:val="24"/>
          <w:lang w:val="el-GR"/>
        </w:rPr>
        <w:t xml:space="preserve">η </w:t>
      </w:r>
      <w:r>
        <w:rPr>
          <w:rFonts w:eastAsia="Arial Unicode MS"/>
          <w:b/>
          <w:sz w:val="24"/>
          <w:lang w:val="el-GR"/>
        </w:rPr>
        <w:t>πρωτότυπη εγγυητική επιστολή συμμετοχής</w:t>
      </w:r>
      <w:r>
        <w:rPr>
          <w:rFonts w:eastAsia="Arial Unicode MS"/>
          <w:sz w:val="24"/>
          <w:lang w:val="el-GR"/>
        </w:rPr>
        <w:t>, πλην των περιπτώσεων που αυτή εκδίδεται ηλεκτρονικά, άλλως η προσφορά απορρίπτεται ως απαράδεκτη,</w:t>
      </w:r>
    </w:p>
    <w:p>
      <w:pPr>
        <w:pStyle w:val="Normal"/>
        <w:spacing w:lineRule="auto" w:line="276" w:before="0" w:after="0"/>
        <w:rPr/>
      </w:pPr>
      <w:r>
        <w:rPr>
          <w:rFonts w:eastAsia="Arial Unicode MS"/>
          <w:sz w:val="24"/>
          <w:lang w:val="el-GR"/>
        </w:rPr>
        <w:t xml:space="preserve">β) αυτά </w:t>
      </w:r>
      <w:r>
        <w:rPr>
          <w:rFonts w:eastAsia="Arial Unicode MS"/>
          <w:b/>
          <w:sz w:val="24"/>
          <w:lang w:val="el-GR"/>
        </w:rPr>
        <w:t>που δεν υπάγονται στις διατάξεις του άρθρου 11 παρ. 2 του ν. 2690/1999</w:t>
      </w:r>
      <w:r>
        <w:rPr>
          <w:rStyle w:val="Style14"/>
          <w:rStyle w:val="Style14"/>
          <w:rFonts w:eastAsia="Arial Unicode MS" w:cs="Calibri"/>
          <w:sz w:val="24"/>
          <w:lang w:val="el-GR"/>
        </w:rPr>
        <w:footnoteReference w:id="55"/>
      </w:r>
      <w:r>
        <w:rPr>
          <w:rFonts w:eastAsia="Arial Unicode MS"/>
          <w:sz w:val="24"/>
          <w:lang w:val="el-GR"/>
        </w:rPr>
        <w:t xml:space="preserve">, </w:t>
      </w:r>
    </w:p>
    <w:p>
      <w:pPr>
        <w:pStyle w:val="Normal"/>
        <w:spacing w:lineRule="auto" w:line="276" w:before="0" w:after="0"/>
        <w:rPr/>
      </w:pPr>
      <w:r>
        <w:rPr>
          <w:rFonts w:eastAsia="Arial Unicode MS"/>
          <w:sz w:val="24"/>
          <w:lang w:val="el-GR"/>
        </w:rPr>
        <w:t xml:space="preserve">γ) </w:t>
      </w:r>
      <w:r>
        <w:rPr>
          <w:rFonts w:eastAsia="Arial Unicode MS"/>
          <w:b/>
          <w:sz w:val="24"/>
          <w:lang w:val="el-GR"/>
        </w:rPr>
        <w:t>ιδιωτικά έγγραφα τα οποία δεν  έχουν επικυρωθεί από δικηγόρο</w:t>
      </w:r>
      <w:r>
        <w:rPr>
          <w:rFonts w:eastAsia="Arial Unicode MS"/>
          <w:sz w:val="24"/>
          <w:lang w:val="el-GR"/>
        </w:rPr>
        <w:t xml:space="preserve">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pPr>
        <w:pStyle w:val="Normal"/>
        <w:spacing w:lineRule="auto" w:line="276" w:before="0" w:after="0"/>
        <w:rPr/>
      </w:pPr>
      <w:r>
        <w:rPr>
          <w:rFonts w:eastAsia="Arial Unicode MS"/>
          <w:sz w:val="24"/>
          <w:lang w:val="el-GR"/>
        </w:rPr>
        <w:t xml:space="preserve">δ) τα </w:t>
      </w:r>
      <w:r>
        <w:rPr>
          <w:rFonts w:eastAsia="Arial Unicode MS"/>
          <w:b/>
          <w:sz w:val="24"/>
          <w:lang w:val="el-GR"/>
        </w:rPr>
        <w:t>αλλοδαπά δημόσια έντυπα έγγραφα που φέρουν την επισημείωση της Χάγης</w:t>
      </w:r>
      <w:r>
        <w:rPr>
          <w:rFonts w:eastAsia="Arial Unicode MS"/>
          <w:sz w:val="24"/>
          <w:lang w:val="el-GR"/>
        </w:rPr>
        <w:t xml:space="preserve"> (Apostille), ή προξενική θεώρηση και δεν έχουν επικυρωθεί  από δικηγόρο</w:t>
      </w:r>
      <w:r>
        <w:rPr>
          <w:rStyle w:val="Style14"/>
          <w:rStyle w:val="Style14"/>
          <w:rFonts w:eastAsia="Arial Unicode MS" w:cs="Calibri"/>
          <w:sz w:val="24"/>
          <w:lang w:val="el-GR"/>
        </w:rPr>
        <w:footnoteReference w:id="56"/>
      </w:r>
      <w:r>
        <w:rPr>
          <w:rFonts w:eastAsia="Arial Unicode MS"/>
          <w:sz w:val="24"/>
          <w:lang w:val="el-GR"/>
        </w:rPr>
        <w:t xml:space="preserve">. </w:t>
      </w:r>
    </w:p>
    <w:p>
      <w:pPr>
        <w:pStyle w:val="Normal"/>
        <w:spacing w:lineRule="auto" w:line="276" w:before="120" w:after="0"/>
        <w:rPr/>
      </w:pPr>
      <w:r>
        <w:rPr>
          <w:rFonts w:eastAsia="Arial Unicode MS"/>
          <w:b/>
          <w:sz w:val="24"/>
          <w:lang w:val="el-GR"/>
        </w:rPr>
        <w:t xml:space="preserve">Σε περίπτωση μη υποβολής ενός ή περισσοτέρων </w:t>
      </w:r>
      <w:r>
        <w:rPr>
          <w:rFonts w:eastAsia="Arial Unicode MS"/>
          <w:sz w:val="24"/>
          <w:lang w:val="el-GR"/>
        </w:rPr>
        <w:t>από τα ως άνω στοιχεία και δικαιολογητικά που υποβάλλονται σε έντυπη μορφή,</w:t>
      </w:r>
      <w:r>
        <w:rPr>
          <w:rFonts w:eastAsia="Arial Unicode MS"/>
          <w:sz w:val="24"/>
          <w:highlight w:val="white"/>
          <w:lang w:val="el-GR"/>
        </w:rPr>
        <w:t xml:space="preserve"> </w:t>
      </w:r>
      <w:r>
        <w:rPr>
          <w:rFonts w:eastAsia="Arial Unicode MS"/>
          <w:b/>
          <w:sz w:val="24"/>
          <w:highlight w:val="white"/>
          <w:u w:val="single"/>
          <w:lang w:val="el-GR"/>
        </w:rPr>
        <w:t>πλην της πρωτότυπης εγγύησης συμμετοχής,</w:t>
      </w:r>
      <w:r>
        <w:rPr>
          <w:rFonts w:eastAsia="Arial Unicode MS"/>
          <w:b/>
          <w:sz w:val="24"/>
          <w:u w:val="single"/>
          <w:lang w:val="el-GR"/>
        </w:rPr>
        <w:t xml:space="preserve"> </w:t>
      </w:r>
      <w:r>
        <w:rPr>
          <w:rFonts w:eastAsia="Arial Unicode MS"/>
          <w:sz w:val="24"/>
          <w:lang w:val="el-GR"/>
        </w:rPr>
        <w:t>η αναθέτουσα αρχή</w:t>
      </w:r>
      <w:r>
        <w:rPr>
          <w:rFonts w:eastAsia="Arial Unicode MS"/>
          <w:b/>
          <w:sz w:val="24"/>
          <w:lang w:val="el-GR"/>
        </w:rPr>
        <w:t xml:space="preserve"> δύναται να ζητήσει τη συμπλήρωση και υποβολή τους, σύμφωνα με το άρθρο 102 του ν. 4412/2016.</w:t>
      </w:r>
    </w:p>
    <w:p>
      <w:pPr>
        <w:pStyle w:val="Normal"/>
        <w:spacing w:lineRule="auto" w:line="276" w:before="120" w:after="120"/>
        <w:rPr/>
      </w:pPr>
      <w:r>
        <w:rPr>
          <w:rFonts w:eastAsia="Arial Unicode MS"/>
          <w:b/>
          <w:sz w:val="24"/>
          <w:lang w:val="el-GR"/>
        </w:rPr>
        <w:t xml:space="preserve">Στα αλλοδαπά δημόσια έγγραφα και δικαιολογητικά εφαρμόζεται η Συνθήκη της Χάγης </w:t>
      </w:r>
      <w:r>
        <w:rPr>
          <w:rFonts w:eastAsia="Arial Unicode MS"/>
          <w:sz w:val="24"/>
          <w:lang w:val="el-GR"/>
        </w:rPr>
        <w:t>της 5ης.10.1961, που κυρώθηκε με το ν.1497/1984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pPr>
        <w:pStyle w:val="Normal"/>
        <w:spacing w:lineRule="auto" w:line="276"/>
        <w:rPr/>
      </w:pPr>
      <w:r>
        <w:rPr>
          <w:rFonts w:eastAsia="Arial Unicode MS"/>
          <w:b/>
          <w:sz w:val="24"/>
          <w:lang w:val="el-GR"/>
        </w:rPr>
        <w:t>Σημειώνεται ότι, γίνονται υποχρεωτικά αποδεκτά ευκρινή φωτοαντίγραφα εγγράφων</w:t>
      </w:r>
      <w:r>
        <w:rPr>
          <w:rFonts w:eastAsia="Arial Unicode MS"/>
          <w:sz w:val="24"/>
          <w:lang w:val="el-GR"/>
        </w:rPr>
        <w:t xml:space="preserve">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pPr>
        <w:pStyle w:val="Normal"/>
        <w:pBdr>
          <w:top w:val="single" w:sz="4" w:space="1" w:color="000000"/>
          <w:left w:val="single" w:sz="4" w:space="4" w:color="000000"/>
          <w:bottom w:val="single" w:sz="4" w:space="1" w:color="000000"/>
          <w:right w:val="single" w:sz="4" w:space="4" w:color="000000"/>
        </w:pBdr>
        <w:shd w:val="clear" w:color="auto" w:fill="F2F2F2"/>
        <w:spacing w:lineRule="auto" w:line="276" w:before="240" w:after="120"/>
        <w:rPr/>
      </w:pPr>
      <w:r>
        <w:rPr>
          <w:rFonts w:eastAsia="Arial Unicode MS"/>
          <w:b/>
          <w:sz w:val="24"/>
          <w:u w:val="single"/>
          <w:lang w:val="el-GR"/>
        </w:rPr>
        <w:t>Οι πρωτότυπες εγγυήσεις συμμετοχής</w:t>
      </w:r>
      <w:r>
        <w:rPr>
          <w:rFonts w:eastAsia="Arial Unicode MS"/>
          <w:b/>
          <w:sz w:val="24"/>
          <w:lang w:val="el-GR"/>
        </w:rPr>
        <w:t xml:space="preserve">, </w:t>
      </w:r>
      <w:r>
        <w:rPr>
          <w:rFonts w:eastAsia="Arial Unicode MS"/>
          <w:sz w:val="24"/>
          <w:lang w:val="el-GR"/>
        </w:rPr>
        <w:t xml:space="preserve">πλην των εγγυήσεων που εκδίδονται ηλεκτρονικά, </w:t>
      </w:r>
      <w:r>
        <w:rPr>
          <w:rFonts w:eastAsia="Arial Unicode MS"/>
          <w:b/>
          <w:sz w:val="24"/>
          <w:lang w:val="el-GR"/>
        </w:rPr>
        <w:t xml:space="preserve">προσκομίζονται, με ευθύνη του οικονομικού φορέα, </w:t>
      </w:r>
      <w:r>
        <w:rPr>
          <w:rFonts w:eastAsia="Arial Unicode MS"/>
          <w:sz w:val="24"/>
          <w:lang w:val="el-GR"/>
        </w:rPr>
        <w:t xml:space="preserve">σε κλειστό φάκελο, στον οποίο αναγράφεται ο αποστολέας, τα στοιχεία του παρόντος διαγωνισμού και ως παραλήπτης η Επιτροπή Διαγωνισμού, </w:t>
      </w:r>
      <w:r>
        <w:rPr>
          <w:rFonts w:eastAsia="Arial Unicode MS"/>
          <w:b/>
          <w:sz w:val="24"/>
          <w:u w:val="single"/>
          <w:lang w:val="el-GR"/>
        </w:rPr>
        <w:t>το αργότερο πριν την ημερομηνία και ώρα ΑΠΟΣΦΡΑΓΙΣΗΣ των προσφορών που ορίζεται στην παρ. 3.1 της παρούσας</w:t>
      </w:r>
      <w:r>
        <w:rPr>
          <w:rFonts w:eastAsia="Arial Unicode MS"/>
          <w:sz w:val="24"/>
          <w:lang w:val="el-GR"/>
        </w:rPr>
        <w:t xml:space="preserve">, άλλως η προσφορά απορρίπτεται ως απαράδεκτη, μετά από γνώμη της Επιτροπής Διαγωνισμού.  </w:t>
      </w:r>
    </w:p>
    <w:p>
      <w:pPr>
        <w:pStyle w:val="Normal"/>
        <w:spacing w:lineRule="auto" w:line="276" w:before="240" w:after="0"/>
        <w:rPr/>
      </w:pPr>
      <w:r>
        <w:rPr>
          <w:rFonts w:eastAsia="Arial Unicode MS"/>
          <w:sz w:val="24"/>
          <w:lang w:val="el-GR"/>
        </w:rPr>
        <w:t xml:space="preserve">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w:t>
      </w:r>
      <w:r>
        <w:rPr>
          <w:rFonts w:eastAsia="Arial Unicode MS"/>
          <w:sz w:val="24"/>
          <w:u w:val="single"/>
          <w:lang w:val="el-GR"/>
        </w:rPr>
        <w:t>Το βάρος απόδειξης της έγκαιρης προσκόμισης φέρει ο οικονομικός φορέας</w:t>
      </w:r>
      <w:r>
        <w:rPr>
          <w:rFonts w:eastAsia="Arial Unicode MS"/>
          <w:sz w:val="24"/>
          <w:lang w:val="el-GR"/>
        </w:rPr>
        <w:t>. Το εμπρόθεσμο αποδεικνύεται με την επίκληση του αριθμού πρωτοκόλλου ή την προσκόμιση του σχετικού αποδεικτικού αποστολής κατά περίπτωση.</w:t>
      </w:r>
    </w:p>
    <w:p>
      <w:pPr>
        <w:pStyle w:val="Normal"/>
        <w:spacing w:lineRule="auto" w:line="276"/>
        <w:rPr/>
      </w:pPr>
      <w:r>
        <w:rPr>
          <w:rFonts w:eastAsia="Arial Unicode MS"/>
          <w:sz w:val="24"/>
          <w:lang w:val="el-GR"/>
        </w:rPr>
        <w:t xml:space="preserve">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w:t>
      </w:r>
      <w:r>
        <w:rPr>
          <w:rFonts w:eastAsia="Arial Unicode MS"/>
          <w:sz w:val="24"/>
          <w:u w:val="single"/>
          <w:lang w:val="el-GR"/>
        </w:rPr>
        <w:t>έως την ημερομηνία και ώρα αποσφράγισης των προσφορών</w:t>
      </w:r>
      <w:r>
        <w:rPr>
          <w:rFonts w:eastAsia="Arial Unicode MS"/>
          <w:sz w:val="24"/>
          <w:lang w:val="el-GR"/>
        </w:rPr>
        <w:t xml:space="preserve">, μέσω της λειτουργικότητας «Επικοινωνία», τα σχετικό αποδεικτικό στοιχείο προσκόμισης (αποδεικτικό κατάθεσης σε υπηρεσίες ταχυδρομείου - ταχυμεταφορών),  προκειμένου να ενημερώσει την αναθέτουσα αρχή </w:t>
      </w:r>
      <w:r>
        <w:rPr>
          <w:rFonts w:eastAsia="Arial Unicode MS"/>
          <w:sz w:val="24"/>
          <w:u w:val="single"/>
          <w:lang w:val="el-GR"/>
        </w:rPr>
        <w:t>περί της τήρησης της υποχρέωσής του σχετικά με την (εμπρόθεσμη) προσκόμιση της εγγύησης συμμετοχής του στον παρόντα διαγωνισμό</w:t>
      </w:r>
      <w:r>
        <w:rPr>
          <w:rFonts w:eastAsia="Arial Unicode MS"/>
          <w:sz w:val="24"/>
          <w:lang w:val="el-GR"/>
        </w:rPr>
        <w:t>.</w:t>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eastAsia="Arial Unicode MS"/>
          <w:b/>
          <w:sz w:val="24"/>
          <w:lang w:val="el-GR"/>
        </w:rP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w:t>
      </w:r>
      <w:r>
        <w:rPr>
          <w:rFonts w:eastAsia="Arial Unicode MS"/>
          <w:sz w:val="24"/>
          <w:lang w:val="el-GR"/>
        </w:rPr>
        <w:t>που είναι αρμόδια για τη διενέργεια του διαγωνισμού</w:t>
      </w:r>
      <w:r>
        <w:rPr>
          <w:rFonts w:eastAsia="Arial Unicode MS"/>
          <w:b/>
          <w:sz w:val="24"/>
          <w:u w:val="single"/>
          <w:lang w:val="el-GR"/>
        </w:rPr>
        <w:t xml:space="preserve">, αποστέλλονται ή προσκομίζονται </w:t>
      </w:r>
      <w:r>
        <w:rPr>
          <w:rFonts w:eastAsia="Arial Unicode MS"/>
          <w:sz w:val="24"/>
          <w:lang w:val="el-GR"/>
        </w:rPr>
        <w:t xml:space="preserve">στο Τμήμα Συντονισμού και Υποστήριξης της ΠΥΣΥ Θεσσαλίας του </w:t>
      </w:r>
      <w:r>
        <w:rPr>
          <w:rFonts w:eastAsia="Arial Unicode MS"/>
          <w:b/>
          <w:sz w:val="24"/>
          <w:lang w:val="en-US"/>
        </w:rPr>
        <w:t>e</w:t>
      </w:r>
      <w:r>
        <w:rPr>
          <w:rFonts w:eastAsia="Arial Unicode MS"/>
          <w:b/>
          <w:sz w:val="24"/>
          <w:lang w:val="el-GR"/>
        </w:rPr>
        <w:t>-</w:t>
      </w:r>
      <w:r>
        <w:rPr>
          <w:rFonts w:eastAsia="Arial Unicode MS"/>
          <w:b/>
          <w:sz w:val="24"/>
          <w:u w:val="single"/>
          <w:lang w:val="el-GR"/>
        </w:rPr>
        <w:t>Ε.Φ.Κ.Α., ( Αγχιάλου 4, Τ.Κ. 413 34, Λάρισα, 1</w:t>
      </w:r>
      <w:r>
        <w:rPr>
          <w:rFonts w:eastAsia="Arial Unicode MS"/>
          <w:b/>
          <w:sz w:val="24"/>
          <w:u w:val="single"/>
          <w:vertAlign w:val="superscript"/>
          <w:lang w:val="el-GR"/>
        </w:rPr>
        <w:t>ος</w:t>
      </w:r>
      <w:r>
        <w:rPr>
          <w:rFonts w:eastAsia="Arial Unicode MS"/>
          <w:b/>
          <w:sz w:val="24"/>
          <w:u w:val="single"/>
          <w:lang w:val="el-GR"/>
        </w:rPr>
        <w:t xml:space="preserve"> όροφος)</w:t>
      </w:r>
      <w:r>
        <w:rPr>
          <w:rFonts w:eastAsia="Arial Unicode MS"/>
          <w:sz w:val="24"/>
          <w:lang w:val="el-GR"/>
        </w:rPr>
        <w:t xml:space="preserve"> από τους συμμετέχοντες (με διαβιβαστικό όπου θα αναφέρονται αναλυτικά τα προσκομιζόμενα δικαιολογητικά) </w:t>
      </w:r>
      <w:r>
        <w:rPr>
          <w:rFonts w:eastAsia="Arial Unicode MS"/>
          <w:b/>
          <w:bCs/>
          <w:sz w:val="24"/>
          <w:lang w:val="el-GR"/>
        </w:rPr>
        <w:t>εντός σφραγισμένου φακέλου</w:t>
      </w:r>
      <w:r>
        <w:rPr>
          <w:rFonts w:eastAsia="Arial Unicode MS"/>
          <w:sz w:val="24"/>
          <w:lang w:val="el-GR"/>
        </w:rPr>
        <w:t>, στον οποίο θα αναγράφονται εξωτερικά, η επωνυμία της αναθέτουσας αρχής, ο αριθμός της Διακήρυξης και το αντικείμενο του διαγωνισμού (βλ. αρχική σελίδα), τα στοιχεία του οικονομικού φορέα και η καταληκτική ημερομηνία υποβολής προσφορών.</w:t>
      </w:r>
    </w:p>
    <w:p>
      <w:pPr>
        <w:pStyle w:val="Normal"/>
        <w:spacing w:lineRule="auto" w:line="276" w:before="206" w:after="0"/>
        <w:ind w:left="0" w:right="57" w:hanging="0"/>
        <w:rPr/>
      </w:pPr>
      <w:bookmarkStart w:id="104" w:name="_Toc492539466"/>
      <w:bookmarkStart w:id="105" w:name="_Toc127963069"/>
      <w:r>
        <w:rPr>
          <w:rFonts w:eastAsia="Arial Unicode MS"/>
          <w:b/>
          <w:bCs/>
          <w:sz w:val="24"/>
          <w:lang w:val="el-GR"/>
        </w:rPr>
        <w:t>2.4.3. Περιεχόμενα Φακέλου «Δικαιολογητικά Συμμετοχής - Τεχνική Προσφορά»</w:t>
      </w:r>
      <w:bookmarkEnd w:id="104"/>
      <w:bookmarkEnd w:id="105"/>
      <w:r>
        <w:rPr>
          <w:rFonts w:eastAsia="Arial Unicode MS"/>
          <w:b/>
          <w:bCs/>
          <w:sz w:val="24"/>
          <w:lang w:val="el-GR"/>
        </w:rPr>
        <w:t xml:space="preserve"> </w:t>
      </w:r>
    </w:p>
    <w:p>
      <w:pPr>
        <w:pStyle w:val="Normal"/>
        <w:spacing w:lineRule="auto" w:line="276"/>
        <w:rPr>
          <w:rFonts w:eastAsia="Arial Unicode MS"/>
          <w:b/>
          <w:b/>
          <w:bCs/>
          <w:sz w:val="24"/>
          <w:lang w:val="el-GR"/>
        </w:rPr>
      </w:pPr>
      <w:r>
        <w:rPr>
          <w:rFonts w:eastAsia="Arial Unicode MS"/>
          <w:b/>
          <w:bCs/>
          <w:sz w:val="24"/>
          <w:lang w:val="el-GR"/>
        </w:rPr>
        <w:t>2.4.3.1. Δικαιολογητικά Συμμετοχής</w:t>
      </w:r>
    </w:p>
    <w:p>
      <w:pPr>
        <w:pStyle w:val="Normal"/>
        <w:spacing w:lineRule="auto" w:line="276" w:before="0" w:after="0"/>
        <w:rPr/>
      </w:pPr>
      <w:r>
        <w:rPr>
          <w:rFonts w:eastAsia="Arial Unicode MS"/>
          <w:sz w:val="24"/>
          <w:lang w:val="el-GR"/>
        </w:rPr>
        <w:t xml:space="preserve">Τα στοιχεία και δικαιολογητικά για την συμμετοχή των προσφερόντων στη διαγωνιστική διαδικασία περιλαμβάνουν </w:t>
      </w:r>
      <w:r>
        <w:rPr>
          <w:rFonts w:eastAsia="Arial Unicode MS"/>
          <w:sz w:val="24"/>
          <w:u w:val="single"/>
          <w:lang w:val="el-GR"/>
        </w:rPr>
        <w:t>με ποινή αποκλεισμού</w:t>
      </w:r>
      <w:r>
        <w:rPr>
          <w:rFonts w:eastAsia="Arial Unicode MS"/>
          <w:sz w:val="24"/>
          <w:lang w:val="el-GR"/>
        </w:rPr>
        <w:t xml:space="preserve"> τα ακόλουθα υπό  α και β στοιχεία:</w:t>
      </w:r>
    </w:p>
    <w:p>
      <w:pPr>
        <w:pStyle w:val="Normal"/>
        <w:spacing w:lineRule="auto" w:line="276"/>
        <w:rPr/>
      </w:pPr>
      <w:r>
        <w:rPr>
          <w:b/>
          <w:sz w:val="24"/>
          <w:lang w:val="el-GR"/>
        </w:rPr>
        <w:t>α) το Ευρωπαϊκό Ενιαίο Έγγραφο Σύμβασης (ΕΕΕΣ),</w:t>
      </w:r>
      <w:r>
        <w:rPr>
          <w:sz w:val="24"/>
          <w:lang w:val="el-GR"/>
        </w:rPr>
        <w:t xml:space="preserve"> όπως προβλέπεται στις παρ. 1 και 3 του άρθρου 79 του ν. 4412/2016 και τη συνοδευτική υπεύθυνη δήλωση με την οποία ο οικονομικός φορέας </w:t>
      </w:r>
      <w:r>
        <w:rPr>
          <w:sz w:val="24"/>
          <w:u w:val="single"/>
          <w:lang w:val="el-GR"/>
        </w:rPr>
        <w:t>δύναται</w:t>
      </w:r>
      <w:r>
        <w:rPr>
          <w:sz w:val="24"/>
          <w:lang w:val="el-GR"/>
        </w:rPr>
        <w:t xml:space="preserve"> να διευκρινίζει τις πληροφορίες που παρέχει με το ΕΕΕΣ σύμφωνα με την παρ. 9 του ίδιου άρθρου, </w:t>
      </w:r>
    </w:p>
    <w:p>
      <w:pPr>
        <w:pStyle w:val="Normal"/>
        <w:spacing w:lineRule="auto" w:line="276" w:before="0" w:after="0"/>
        <w:rPr/>
      </w:pPr>
      <w:r>
        <w:rPr>
          <w:rFonts w:eastAsia="Arial Unicode MS"/>
          <w:b/>
          <w:sz w:val="24"/>
          <w:lang w:val="el-GR"/>
        </w:rPr>
        <w:t>β)</w:t>
      </w:r>
      <w:r>
        <w:rPr>
          <w:rFonts w:eastAsia="Arial Unicode MS"/>
          <w:sz w:val="24"/>
          <w:lang w:val="el-GR"/>
        </w:rPr>
        <w:t xml:space="preserve"> </w:t>
      </w:r>
      <w:r>
        <w:rPr>
          <w:rFonts w:eastAsia="Arial Unicode MS"/>
          <w:b/>
          <w:sz w:val="24"/>
          <w:lang w:val="el-GR"/>
        </w:rPr>
        <w:t xml:space="preserve">την </w:t>
      </w:r>
      <w:r>
        <w:rPr>
          <w:rFonts w:eastAsia="Arial Unicode MS"/>
          <w:b/>
          <w:sz w:val="24"/>
          <w:u w:val="single"/>
          <w:lang w:val="el-GR"/>
        </w:rPr>
        <w:t>εγγύηση συμμετοχής</w:t>
      </w:r>
      <w:r>
        <w:rPr>
          <w:rFonts w:eastAsia="Arial Unicode MS"/>
          <w:sz w:val="24"/>
          <w:lang w:val="el-GR"/>
        </w:rPr>
        <w:t xml:space="preserve">, όπως προβλέπεται στο άρθρο 72 του Ν.4412/2016 και στις παραγράφους 2.1.5 και 2.2.2 αντίστοιχα της παρούσας διακήρυξης. Επισυνάπτεται υπόδειγμα Εγγυητικής Επιστολής στο </w:t>
      </w:r>
      <w:r>
        <w:rPr>
          <w:rFonts w:eastAsia="Arial Unicode MS"/>
          <w:b/>
          <w:sz w:val="24"/>
          <w:lang w:val="el-GR"/>
        </w:rPr>
        <w:t xml:space="preserve">Παράρτημα </w:t>
      </w:r>
      <w:r>
        <w:rPr>
          <w:rFonts w:eastAsia="Arial Unicode MS"/>
          <w:b/>
          <w:sz w:val="24"/>
          <w:lang w:val="en-US"/>
        </w:rPr>
        <w:t>I</w:t>
      </w:r>
      <w:r>
        <w:rPr>
          <w:rFonts w:eastAsia="Arial Unicode MS"/>
          <w:b/>
          <w:sz w:val="24"/>
          <w:lang w:val="el-GR"/>
        </w:rPr>
        <w:t xml:space="preserve">ΙΙ </w:t>
      </w:r>
      <w:r>
        <w:rPr>
          <w:rFonts w:eastAsia="Arial Unicode MS"/>
          <w:sz w:val="24"/>
          <w:lang w:val="el-GR"/>
        </w:rPr>
        <w:t>της παρούσης.</w:t>
      </w:r>
    </w:p>
    <w:p>
      <w:pPr>
        <w:pStyle w:val="Normal"/>
        <w:spacing w:lineRule="auto" w:line="276" w:before="0" w:after="0"/>
        <w:rPr>
          <w:rFonts w:eastAsia="Arial Unicode MS"/>
          <w:bCs/>
          <w:sz w:val="24"/>
          <w:lang w:val="el-GR"/>
        </w:rPr>
      </w:pPr>
      <w:r>
        <w:rPr>
          <w:rFonts w:eastAsia="Arial Unicode MS"/>
          <w:bCs/>
          <w:sz w:val="24"/>
          <w:lang w:val="el-GR"/>
        </w:rPr>
        <w:t>Οι προσφέροντες συμπληρώνουν το σχετικό υπόδειγμα ΕΕΕΣ, το οποίο αποτελεί αναπόσπαστο μέρος της παρούσας διακήρυξης ως Παράρτημα αυτής.</w:t>
      </w:r>
    </w:p>
    <w:p>
      <w:pPr>
        <w:pStyle w:val="Normal"/>
        <w:spacing w:lineRule="auto" w:line="276" w:before="0" w:after="0"/>
        <w:rPr/>
      </w:pPr>
      <w:r>
        <w:rPr>
          <w:rFonts w:eastAsia="Arial Unicode MS"/>
          <w:bCs/>
          <w:sz w:val="24"/>
          <w:lang w:val="el-GR"/>
        </w:rPr>
        <w:t xml:space="preserve">Η συμπλήρωση του δύναται να πραγματοποιηθεί με χρήση του υποσυστήματος </w:t>
      </w:r>
      <w:r>
        <w:rPr>
          <w:rFonts w:eastAsia="Arial Unicode MS"/>
          <w:bCs/>
          <w:sz w:val="24"/>
          <w:lang w:val="en-US"/>
        </w:rPr>
        <w:t>Promitheus</w:t>
      </w:r>
      <w:r>
        <w:rPr>
          <w:rFonts w:eastAsia="Arial Unicode MS"/>
          <w:bCs/>
          <w:sz w:val="24"/>
          <w:lang w:val="el-GR"/>
        </w:rPr>
        <w:t xml:space="preserve"> </w:t>
      </w:r>
      <w:r>
        <w:rPr>
          <w:rFonts w:eastAsia="Arial Unicode MS"/>
          <w:bCs/>
          <w:sz w:val="24"/>
          <w:lang w:val="en-US"/>
        </w:rPr>
        <w:t>ESPDint</w:t>
      </w:r>
      <w:r>
        <w:rPr>
          <w:rFonts w:eastAsia="Arial Unicode MS"/>
          <w:bCs/>
          <w:sz w:val="24"/>
          <w:lang w:val="el-GR"/>
        </w:rPr>
        <w:t>, προσβάσιμου μέσω της Διαδικτυακής Πύλης (</w:t>
      </w:r>
      <w:hyperlink r:id="rId32">
        <w:r>
          <w:rPr>
            <w:rStyle w:val="Style7"/>
            <w:rFonts w:eastAsia="Arial Unicode MS"/>
            <w:bCs/>
            <w:sz w:val="24"/>
            <w:lang w:val="en-US"/>
          </w:rPr>
          <w:t>www</w:t>
        </w:r>
      </w:hyperlink>
      <w:hyperlink r:id="rId33">
        <w:r>
          <w:rPr>
            <w:rStyle w:val="Style7"/>
            <w:rFonts w:eastAsia="Arial Unicode MS"/>
            <w:bCs/>
            <w:sz w:val="24"/>
            <w:lang w:val="el-GR"/>
          </w:rPr>
          <w:t>.</w:t>
        </w:r>
      </w:hyperlink>
      <w:hyperlink r:id="rId34">
        <w:r>
          <w:rPr>
            <w:rStyle w:val="Style7"/>
            <w:rFonts w:eastAsia="Arial Unicode MS"/>
            <w:bCs/>
            <w:sz w:val="24"/>
            <w:lang w:val="en-US"/>
          </w:rPr>
          <w:t>promitheus</w:t>
        </w:r>
      </w:hyperlink>
      <w:hyperlink r:id="rId35">
        <w:r>
          <w:rPr>
            <w:rStyle w:val="Style7"/>
            <w:rFonts w:eastAsia="Arial Unicode MS"/>
            <w:bCs/>
            <w:sz w:val="24"/>
            <w:lang w:val="el-GR"/>
          </w:rPr>
          <w:t>.</w:t>
        </w:r>
      </w:hyperlink>
      <w:hyperlink r:id="rId36">
        <w:r>
          <w:rPr>
            <w:rStyle w:val="Style7"/>
            <w:rFonts w:eastAsia="Arial Unicode MS"/>
            <w:bCs/>
            <w:sz w:val="24"/>
            <w:lang w:val="en-US"/>
          </w:rPr>
          <w:t>gov</w:t>
        </w:r>
      </w:hyperlink>
      <w:hyperlink r:id="rId37">
        <w:r>
          <w:rPr>
            <w:rStyle w:val="Style7"/>
            <w:rFonts w:eastAsia="Arial Unicode MS"/>
            <w:bCs/>
            <w:sz w:val="24"/>
            <w:lang w:val="el-GR"/>
          </w:rPr>
          <w:t>.</w:t>
        </w:r>
      </w:hyperlink>
      <w:hyperlink r:id="rId38">
        <w:r>
          <w:rPr>
            <w:rStyle w:val="Style7"/>
            <w:rFonts w:eastAsia="Arial Unicode MS"/>
            <w:bCs/>
            <w:sz w:val="24"/>
            <w:lang w:val="en-US"/>
          </w:rPr>
          <w:t>gr</w:t>
        </w:r>
      </w:hyperlink>
      <w:r>
        <w:rPr>
          <w:rFonts w:eastAsia="Arial Unicode MS"/>
          <w:bCs/>
          <w:sz w:val="24"/>
          <w:lang w:val="el-GR"/>
        </w:rPr>
        <w:t xml:space="preserve">) του ΟΠΣ ΕΣΗΔΗΣ, ή άλλης σχετικής συμβατής πλατφόρμας υπηρεσιών διαχείρισης ηλεκτρονικών ΕΕΕΣ. Οι Οικονομικοί Φορείς δύνανται για το σκοπό αυτό να αξιοποιήσουν το αντίστοιχο ηλεκτρονικό αρχείο με μορφότυπο </w:t>
      </w:r>
      <w:r>
        <w:rPr>
          <w:rFonts w:eastAsia="Arial Unicode MS"/>
          <w:bCs/>
          <w:sz w:val="24"/>
          <w:lang w:val="en-US"/>
        </w:rPr>
        <w:t>XML</w:t>
      </w:r>
      <w:r>
        <w:rPr>
          <w:rFonts w:eastAsia="Arial Unicode MS"/>
          <w:bCs/>
          <w:sz w:val="24"/>
          <w:lang w:val="el-GR"/>
        </w:rPr>
        <w:t xml:space="preserve"> που αποτελεί επικουρικό στοιχείο των εγγράφων της σύμβασης.</w:t>
      </w:r>
    </w:p>
    <w:p>
      <w:pPr>
        <w:pStyle w:val="Normal"/>
        <w:spacing w:lineRule="auto" w:line="276" w:before="0" w:after="0"/>
        <w:rPr/>
      </w:pPr>
      <w:r>
        <w:rPr>
          <w:rFonts w:eastAsia="Arial Unicode MS"/>
          <w:bCs/>
          <w:sz w:val="24"/>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Pr>
          <w:rFonts w:eastAsia="Arial Unicode MS"/>
          <w:bCs/>
          <w:sz w:val="24"/>
          <w:lang w:val="en-US"/>
        </w:rPr>
        <w:t>PDF</w:t>
      </w:r>
      <w:r>
        <w:rPr>
          <w:rFonts w:eastAsia="Arial Unicode MS"/>
          <w:bCs/>
          <w:sz w:val="24"/>
          <w:lang w:val="el-GR"/>
        </w:rPr>
        <w:t xml:space="preserve">. </w:t>
      </w:r>
    </w:p>
    <w:p>
      <w:pPr>
        <w:pStyle w:val="Normal"/>
        <w:spacing w:lineRule="auto" w:line="276" w:before="0" w:after="0"/>
        <w:rPr/>
      </w:pPr>
      <w:r>
        <w:rPr>
          <w:rFonts w:cs="Tahoma"/>
          <w:i/>
          <w:iCs/>
          <w:sz w:val="24"/>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Pr>
          <w:rFonts w:cs="Tahoma"/>
          <w:i/>
          <w:iCs/>
          <w:sz w:val="24"/>
          <w:lang w:val="en-US"/>
        </w:rPr>
        <w:t>Promitheus</w:t>
      </w:r>
      <w:r>
        <w:rPr>
          <w:rFonts w:cs="Tahoma"/>
          <w:i/>
          <w:iCs/>
          <w:sz w:val="24"/>
          <w:lang w:val="el-GR"/>
        </w:rPr>
        <w:t xml:space="preserve"> </w:t>
      </w:r>
      <w:r>
        <w:rPr>
          <w:rFonts w:cs="Tahoma"/>
          <w:i/>
          <w:iCs/>
          <w:sz w:val="24"/>
          <w:lang w:val="en-US"/>
        </w:rPr>
        <w:t>ESPDint</w:t>
      </w:r>
      <w:r>
        <w:rPr>
          <w:rFonts w:cs="Tahoma"/>
          <w:i/>
          <w:iCs/>
          <w:sz w:val="24"/>
          <w:lang w:val="el-GR"/>
        </w:rPr>
        <w:t xml:space="preserve"> είναι αναρτημένες σε σχετική θεματική ενότητα στη Διαδικτυακή Πύλη (</w:t>
      </w:r>
      <w:hyperlink r:id="rId39">
        <w:r>
          <w:rPr>
            <w:rStyle w:val="Style7"/>
            <w:rFonts w:cs="Tahoma"/>
            <w:i/>
            <w:iCs/>
            <w:color w:val="auto"/>
            <w:sz w:val="24"/>
          </w:rPr>
          <w:t>www</w:t>
        </w:r>
      </w:hyperlink>
      <w:hyperlink r:id="rId40">
        <w:r>
          <w:rPr>
            <w:rStyle w:val="Style7"/>
            <w:rFonts w:cs="Tahoma"/>
            <w:color w:val="auto"/>
            <w:sz w:val="24"/>
            <w:lang w:val="el-GR"/>
          </w:rPr>
          <w:t>.</w:t>
        </w:r>
      </w:hyperlink>
      <w:hyperlink r:id="rId41">
        <w:r>
          <w:rPr>
            <w:rStyle w:val="Style7"/>
            <w:rFonts w:cs="Tahoma"/>
            <w:i/>
            <w:iCs/>
            <w:color w:val="auto"/>
            <w:sz w:val="24"/>
          </w:rPr>
          <w:t>promitheus</w:t>
        </w:r>
      </w:hyperlink>
      <w:hyperlink r:id="rId42">
        <w:r>
          <w:rPr>
            <w:rStyle w:val="Style7"/>
            <w:rFonts w:cs="Tahoma"/>
            <w:color w:val="auto"/>
            <w:sz w:val="24"/>
            <w:lang w:val="el-GR"/>
          </w:rPr>
          <w:t>.</w:t>
        </w:r>
      </w:hyperlink>
      <w:hyperlink r:id="rId43">
        <w:r>
          <w:rPr>
            <w:rStyle w:val="Style7"/>
            <w:rFonts w:cs="Tahoma"/>
            <w:i/>
            <w:iCs/>
            <w:color w:val="auto"/>
            <w:sz w:val="24"/>
          </w:rPr>
          <w:t>gov</w:t>
        </w:r>
      </w:hyperlink>
      <w:hyperlink r:id="rId44">
        <w:r>
          <w:rPr>
            <w:rStyle w:val="Style7"/>
            <w:rFonts w:cs="Tahoma"/>
            <w:color w:val="auto"/>
            <w:sz w:val="24"/>
            <w:lang w:val="el-GR"/>
          </w:rPr>
          <w:t>.</w:t>
        </w:r>
      </w:hyperlink>
      <w:hyperlink r:id="rId45">
        <w:r>
          <w:rPr>
            <w:rStyle w:val="Style7"/>
            <w:rFonts w:cs="Tahoma"/>
            <w:i/>
            <w:iCs/>
            <w:color w:val="auto"/>
            <w:sz w:val="24"/>
          </w:rPr>
          <w:t>gr</w:t>
        </w:r>
      </w:hyperlink>
      <w:r>
        <w:rPr>
          <w:rFonts w:cs="Tahoma"/>
          <w:i/>
          <w:iCs/>
          <w:sz w:val="24"/>
          <w:lang w:val="el-GR"/>
        </w:rPr>
        <w:t>) του ΟΠΣ ΕΣΗΔΗΣ.]</w:t>
      </w:r>
    </w:p>
    <w:p>
      <w:pPr>
        <w:pStyle w:val="Normal"/>
        <w:shd w:val="clear" w:color="auto" w:fill="D9D9D9"/>
        <w:spacing w:lineRule="auto" w:line="276" w:before="0" w:after="0"/>
        <w:rPr/>
      </w:pPr>
      <w:r>
        <w:rPr>
          <w:rFonts w:eastAsia="Arial Unicode MS" w:cs="Tahoma"/>
          <w:b/>
          <w:bCs/>
          <w:iCs/>
          <w:sz w:val="24"/>
          <w:u w:val="single"/>
          <w:lang w:val="el-GR"/>
        </w:rPr>
        <w:t xml:space="preserve">Επισημαίνεται ότι οι προσφέροντες για το μέρος </w:t>
      </w:r>
      <w:r>
        <w:rPr>
          <w:rFonts w:eastAsia="Arial Unicode MS" w:cs="Tahoma"/>
          <w:b/>
          <w:bCs/>
          <w:iCs/>
          <w:sz w:val="24"/>
          <w:u w:val="single"/>
          <w:lang w:val="en-US"/>
        </w:rPr>
        <w:t>IV</w:t>
      </w:r>
      <w:r>
        <w:rPr>
          <w:rFonts w:eastAsia="Arial Unicode MS" w:cs="Tahoma"/>
          <w:b/>
          <w:bCs/>
          <w:iCs/>
          <w:sz w:val="24"/>
          <w:u w:val="single"/>
          <w:lang w:val="el-GR"/>
        </w:rPr>
        <w:t xml:space="preserve"> Κριτήρια επιλογής του ΕΕΕΣ συμπληρώνουν μόνο την ενότητα α «Γενική ένδειξη για όλα τα κριτήρια επιλογής».</w:t>
      </w:r>
    </w:p>
    <w:p>
      <w:pPr>
        <w:pStyle w:val="Normal"/>
        <w:spacing w:lineRule="auto" w:line="276" w:before="0" w:after="0"/>
        <w:rPr>
          <w:rFonts w:eastAsia="Arial Unicode MS"/>
          <w:bCs/>
          <w:sz w:val="24"/>
          <w:lang w:val="el-GR"/>
        </w:rPr>
      </w:pPr>
      <w:r>
        <w:rPr>
          <w:rFonts w:eastAsia="Arial Unicode MS"/>
          <w:bCs/>
          <w:sz w:val="24"/>
          <w:lang w:val="el-GR"/>
        </w:rPr>
      </w:r>
    </w:p>
    <w:p>
      <w:pPr>
        <w:pStyle w:val="Normal"/>
        <w:spacing w:lineRule="auto" w:line="276" w:before="0" w:after="0"/>
        <w:rPr/>
      </w:pPr>
      <w:r>
        <w:rPr>
          <w:rFonts w:eastAsia="Arial Unicode MS"/>
          <w:b/>
          <w:bCs/>
          <w:sz w:val="24"/>
          <w:lang w:val="el-GR"/>
        </w:rPr>
        <w:t>2.4.3.2</w:t>
      </w:r>
      <w:r>
        <w:rPr>
          <w:rFonts w:eastAsia="Arial Unicode MS"/>
          <w:sz w:val="24"/>
          <w:lang w:val="el-GR"/>
        </w:rPr>
        <w:t xml:space="preserve"> </w:t>
      </w:r>
      <w:r>
        <w:rPr>
          <w:b/>
          <w:sz w:val="24"/>
          <w:lang w:val="el-GR"/>
        </w:rPr>
        <w:t>Τεχνική Προσφορά</w:t>
      </w:r>
    </w:p>
    <w:p>
      <w:pPr>
        <w:pStyle w:val="Normal"/>
        <w:spacing w:lineRule="auto" w:line="276" w:before="0" w:after="0"/>
        <w:rPr/>
      </w:pPr>
      <w:r>
        <w:rPr>
          <w:sz w:val="24"/>
          <w:lang w:val="en-US"/>
        </w:rPr>
        <w:t>H</w:t>
      </w:r>
      <w:r>
        <w:rPr>
          <w:sz w:val="24"/>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w:t>
      </w:r>
      <w:r>
        <w:rPr>
          <w:b/>
          <w:sz w:val="24"/>
          <w:lang w:val="el-GR"/>
        </w:rPr>
        <w:t xml:space="preserve">Αναλυτική περιγραφή φυσικού και οικονομικού αντικειμένου της σύμβασης-Τεχνικές Προδιαγραφές” </w:t>
      </w:r>
      <w:r>
        <w:rPr>
          <w:rFonts w:eastAsia="Arial Unicode MS"/>
          <w:b/>
          <w:sz w:val="24"/>
          <w:u w:val="single"/>
          <w:lang w:val="el-GR" w:eastAsia="el-GR"/>
        </w:rPr>
        <w:t xml:space="preserve">Παράρτημα ΙΙ </w:t>
      </w:r>
      <w:r>
        <w:rPr>
          <w:b/>
          <w:sz w:val="24"/>
          <w:u w:val="single"/>
          <w:lang w:val="el-GR"/>
        </w:rPr>
        <w:t>της Διακήρυξης</w:t>
      </w:r>
      <w:r>
        <w:rPr>
          <w:sz w:val="24"/>
          <w:lang w:val="el-GR"/>
        </w:rPr>
        <w:t xml:space="preserve">, περιγράφοντας ακριβώς πώς οι συγκεκριμένες απαιτήσεις και προδιαγραφές πληρούνται. </w:t>
      </w:r>
    </w:p>
    <w:p>
      <w:pPr>
        <w:pStyle w:val="Normal"/>
        <w:spacing w:lineRule="auto" w:line="276" w:before="0" w:after="0"/>
        <w:rPr/>
      </w:pPr>
      <w:r>
        <w:rPr>
          <w:b/>
          <w:sz w:val="24"/>
          <w:lang w:val="el-GR"/>
        </w:rPr>
        <w:t>Περιλαμβάνει ιδίως</w:t>
      </w:r>
      <w:r>
        <w:rPr>
          <w:sz w:val="24"/>
          <w:lang w:val="el-GR"/>
        </w:rPr>
        <w:t xml:space="preserve"> τα έγγραφα και δικαιολογητικά, βάσει των οποίων θα αξιολογηθεί, με βάση το κριτήριο ανάθεσης, σύμφωνα με τα αναλυτικώς αναφερόμενα στο ως άνω </w:t>
      </w:r>
      <w:r>
        <w:rPr>
          <w:b/>
          <w:sz w:val="24"/>
          <w:lang w:val="el-GR"/>
        </w:rPr>
        <w:t>Παράρτημα</w:t>
      </w:r>
      <w:r>
        <w:rPr>
          <w:rStyle w:val="WWFootnoteReference9"/>
          <w:b/>
          <w:sz w:val="24"/>
          <w:lang w:val="el-GR"/>
        </w:rPr>
        <w:t xml:space="preserve"> </w:t>
      </w:r>
      <w:r>
        <w:rPr>
          <w:rStyle w:val="Style14"/>
          <w:rStyle w:val="Style14"/>
          <w:rFonts w:cs="Calibri"/>
          <w:b/>
          <w:sz w:val="24"/>
          <w:lang w:val="el-GR"/>
        </w:rPr>
        <w:footnoteReference w:id="57"/>
      </w:r>
      <w:r>
        <w:rPr>
          <w:b/>
          <w:sz w:val="24"/>
          <w:lang w:val="el-GR"/>
        </w:rPr>
        <w:t xml:space="preserve"> </w:t>
      </w:r>
      <w:r>
        <w:rPr>
          <w:rStyle w:val="Style14"/>
          <w:rStyle w:val="Style14"/>
          <w:rFonts w:cs="Calibri"/>
          <w:b/>
          <w:sz w:val="24"/>
          <w:lang w:val="el-GR"/>
        </w:rPr>
        <w:footnoteReference w:id="58"/>
      </w:r>
      <w:r>
        <w:rPr>
          <w:rStyle w:val="WWFootnoteReference9"/>
          <w:b/>
          <w:sz w:val="24"/>
          <w:lang w:val="el-GR"/>
        </w:rPr>
        <w:t>.</w:t>
      </w:r>
      <w:r>
        <w:rPr>
          <w:sz w:val="24"/>
          <w:lang w:val="el-GR"/>
        </w:rPr>
        <w:t xml:space="preserve"> </w:t>
      </w:r>
    </w:p>
    <w:p>
      <w:pPr>
        <w:pStyle w:val="Normal"/>
        <w:spacing w:lineRule="auto" w:line="276" w:before="0" w:after="0"/>
        <w:rPr>
          <w:sz w:val="24"/>
          <w:lang w:val="el-GR"/>
        </w:rPr>
      </w:pPr>
      <w:r>
        <w:rPr>
          <w:sz w:val="24"/>
          <w:lang w:val="el-GR"/>
        </w:rPr>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cs="Tahoma"/>
          <w:b/>
          <w:iCs/>
          <w:sz w:val="24"/>
          <w:lang w:val="el-GR"/>
        </w:rPr>
        <w:t xml:space="preserve">Οι οικονομικοί φορείς </w:t>
      </w:r>
      <w:r>
        <w:rPr>
          <w:rFonts w:cs="Tahoma"/>
          <w:b/>
          <w:sz w:val="24"/>
          <w:u w:val="single"/>
          <w:lang w:val="el-GR"/>
        </w:rPr>
        <w:t xml:space="preserve">θα επισυνάψουν </w:t>
      </w:r>
      <w:r>
        <w:rPr>
          <w:rFonts w:cs="Tahoma"/>
          <w:b/>
          <w:sz w:val="24"/>
          <w:u w:val="single"/>
          <w:bdr w:val="single" w:sz="4" w:space="0" w:color="000000"/>
          <w:lang w:val="el-GR"/>
        </w:rPr>
        <w:t>υποχρεωτικά</w:t>
      </w:r>
      <w:r>
        <w:rPr>
          <w:rFonts w:cs="Tahoma"/>
          <w:b/>
          <w:sz w:val="24"/>
          <w:u w:val="single"/>
          <w:lang w:val="el-GR"/>
        </w:rPr>
        <w:t xml:space="preserve"> στην ηλεκτρονική Τεχνική προσφορά τους ψηφιακά υπογεγραμμένα σε μορφή </w:t>
      </w:r>
      <w:r>
        <w:rPr>
          <w:rFonts w:cs="Tahoma"/>
          <w:b/>
          <w:bCs/>
          <w:sz w:val="24"/>
          <w:u w:val="single"/>
          <w:lang w:val="el-GR"/>
        </w:rPr>
        <w:t>.</w:t>
      </w:r>
      <w:r>
        <w:rPr>
          <w:rFonts w:cs="Tahoma"/>
          <w:b/>
          <w:bCs/>
          <w:sz w:val="24"/>
          <w:u w:val="single"/>
        </w:rPr>
        <w:t>pdf</w:t>
      </w:r>
      <w:r>
        <w:rPr>
          <w:rFonts w:cs="Tahoma"/>
          <w:b/>
          <w:iCs/>
          <w:sz w:val="24"/>
          <w:lang w:val="el-GR"/>
        </w:rPr>
        <w:t xml:space="preserve"> συμπληρωμένο το συν/νο στη παρούσα </w:t>
      </w:r>
      <w:r>
        <w:rPr>
          <w:rFonts w:cs="Tahoma"/>
          <w:b/>
          <w:iCs/>
          <w:sz w:val="24"/>
          <w:u w:val="single"/>
          <w:bdr w:val="single" w:sz="4" w:space="0" w:color="000000"/>
          <w:lang w:val="el-GR"/>
        </w:rPr>
        <w:t>υπόδειγμα φύλλο συμμόρφωσης</w:t>
      </w:r>
      <w:r>
        <w:rPr>
          <w:rFonts w:cs="Tahoma"/>
          <w:b/>
          <w:iCs/>
          <w:sz w:val="24"/>
          <w:bdr w:val="single" w:sz="4" w:space="0" w:color="000000"/>
          <w:lang w:val="el-GR"/>
        </w:rPr>
        <w:t xml:space="preserve"> </w:t>
      </w:r>
      <w:r>
        <w:rPr>
          <w:rFonts w:cs="Tahoma"/>
          <w:b/>
          <w:iCs/>
          <w:sz w:val="24"/>
          <w:lang w:val="el-GR"/>
        </w:rPr>
        <w:t>τ</w:t>
      </w:r>
      <w:r>
        <w:rPr>
          <w:rFonts w:cs="Tahoma"/>
          <w:b/>
          <w:sz w:val="24"/>
          <w:u w:val="single"/>
          <w:lang w:val="el-GR"/>
        </w:rPr>
        <w:t>ου παραρτήματος ΙΙ της παρούσας που αφορά στα είδη των ομάδων -τμημάτων  για τα οποία υποβάλλεται προσφορά.</w:t>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cs="Tahoma"/>
          <w:iCs/>
          <w:sz w:val="24"/>
          <w:lang w:val="el-GR"/>
        </w:rPr>
        <w:t>Επίσης</w:t>
      </w:r>
      <w:r>
        <w:rPr>
          <w:rFonts w:cs="Tahoma"/>
          <w:b/>
          <w:iCs/>
          <w:sz w:val="24"/>
          <w:lang w:val="el-GR"/>
        </w:rPr>
        <w:t xml:space="preserve"> </w:t>
      </w:r>
      <w:r>
        <w:rPr>
          <w:rFonts w:cs="Tahoma"/>
          <w:iCs/>
          <w:sz w:val="24"/>
          <w:lang w:val="el-GR"/>
        </w:rPr>
        <w:t>μ</w:t>
      </w:r>
      <w:r>
        <w:rPr>
          <w:rFonts w:cs="Tahoma"/>
          <w:color w:val="000000"/>
          <w:sz w:val="24"/>
          <w:lang w:val="el-GR" w:eastAsia="el-GR"/>
        </w:rPr>
        <w:t xml:space="preserve">ε την ηλεκτρονική τεχνική προσφορά του ο συμμετέχων </w:t>
      </w:r>
      <w:r>
        <w:rPr>
          <w:rFonts w:cs="Tahoma"/>
          <w:b/>
          <w:sz w:val="24"/>
          <w:u w:val="single"/>
          <w:lang w:val="el-GR" w:eastAsia="el-GR"/>
        </w:rPr>
        <w:t xml:space="preserve">υποβάλλει ηλεκτρονικά όσα από τα απαιτούμενα έγγραφα που αναφέρονται στις </w:t>
      </w:r>
      <w:r>
        <w:rPr>
          <w:rFonts w:cs="Tahoma"/>
          <w:b/>
          <w:sz w:val="24"/>
          <w:u w:val="single"/>
          <w:lang w:val="el-GR"/>
        </w:rPr>
        <w:t xml:space="preserve">προδιαγραφές </w:t>
      </w:r>
      <w:r>
        <w:rPr>
          <w:rFonts w:cs="Tahoma"/>
          <w:sz w:val="24"/>
          <w:lang w:val="el-GR"/>
        </w:rPr>
        <w:t>που έχουν τεθεί από την αναθέτουσα αρχή.</w:t>
      </w:r>
      <w:r>
        <w:rPr>
          <w:rFonts w:cs="Tahoma"/>
          <w:b/>
          <w:i/>
          <w:sz w:val="24"/>
          <w:lang w:val="el-GR"/>
        </w:rPr>
        <w:t xml:space="preserve"> </w:t>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cs="Tahoma"/>
          <w:sz w:val="24"/>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rStyle w:val="Style14"/>
          <w:rStyle w:val="Style14"/>
          <w:rFonts w:cs="Tahoma"/>
          <w:sz w:val="24"/>
          <w:lang w:val="el-GR"/>
        </w:rPr>
        <w:footnoteReference w:id="59"/>
      </w:r>
      <w:r>
        <w:rPr>
          <w:rFonts w:cs="Tahoma"/>
          <w:sz w:val="24"/>
          <w:lang w:val="el-GR"/>
        </w:rPr>
        <w:t>.</w:t>
      </w:r>
    </w:p>
    <w:p>
      <w:pPr>
        <w:pStyle w:val="Normal"/>
        <w:pBdr>
          <w:top w:val="single" w:sz="4" w:space="1" w:color="000000"/>
          <w:left w:val="single" w:sz="4" w:space="4" w:color="000000"/>
          <w:bottom w:val="single" w:sz="4" w:space="1" w:color="000000"/>
          <w:right w:val="single" w:sz="4" w:space="4" w:color="000000"/>
        </w:pBdr>
        <w:spacing w:lineRule="auto" w:line="276" w:before="0" w:after="0"/>
        <w:rPr>
          <w:rFonts w:cs="Tahoma"/>
          <w:b/>
          <w:b/>
          <w:sz w:val="24"/>
          <w:lang w:val="el-GR"/>
        </w:rPr>
      </w:pPr>
      <w:r>
        <w:rPr>
          <w:rFonts w:cs="Tahoma"/>
          <w:b/>
          <w:sz w:val="24"/>
          <w:lang w:val="el-GR"/>
        </w:rPr>
        <w:t xml:space="preserve">Οι συμμετέχοντες μπορούν να υποβάλουν προσφορά για ένα Τμήμα, για περισσότερα ή για όλα τα Τμήματα. </w:t>
      </w:r>
    </w:p>
    <w:p>
      <w:pPr>
        <w:pStyle w:val="Normal"/>
        <w:pBdr>
          <w:top w:val="single" w:sz="4" w:space="1" w:color="000000"/>
          <w:left w:val="single" w:sz="4" w:space="4" w:color="000000"/>
          <w:bottom w:val="single" w:sz="4" w:space="1" w:color="000000"/>
          <w:right w:val="single" w:sz="4" w:space="4" w:color="000000"/>
        </w:pBdr>
        <w:spacing w:lineRule="auto" w:line="276" w:before="0" w:after="0"/>
        <w:rPr>
          <w:rFonts w:cs="Tahoma"/>
          <w:b/>
          <w:b/>
          <w:iCs/>
          <w:sz w:val="24"/>
          <w:u w:val="single"/>
          <w:lang w:val="el-GR"/>
        </w:rPr>
      </w:pPr>
      <w:r>
        <w:rPr>
          <w:rFonts w:cs="Tahoma"/>
          <w:b/>
          <w:iCs/>
          <w:sz w:val="24"/>
          <w:u w:val="single"/>
          <w:lang w:val="el-GR"/>
        </w:rPr>
        <w:t xml:space="preserve">Οι προσφορές που θα υποβληθούν θα αφορούν στο σύνολο των ζητούμενων ανά Τμήμα, σύμφωνα με τις τεχνικές προδιαγραφές. </w:t>
      </w:r>
    </w:p>
    <w:p>
      <w:pPr>
        <w:pStyle w:val="Normal"/>
        <w:suppressAutoHyphens w:val="false"/>
        <w:spacing w:lineRule="auto" w:line="276" w:before="0" w:after="0"/>
        <w:ind w:left="0" w:right="0" w:hanging="227"/>
        <w:rPr>
          <w:rFonts w:eastAsia="Arial Unicode MS" w:cs="Tahoma"/>
          <w:sz w:val="24"/>
          <w:lang w:val="el-GR" w:eastAsia="el-GR"/>
        </w:rPr>
      </w:pPr>
      <w:r>
        <w:rPr>
          <w:rFonts w:eastAsia="Arial Unicode MS" w:cs="Tahoma"/>
          <w:sz w:val="24"/>
          <w:lang w:val="el-GR" w:eastAsia="el-GR"/>
        </w:rPr>
        <w:tab/>
      </w:r>
    </w:p>
    <w:p>
      <w:pPr>
        <w:pStyle w:val="Normal"/>
        <w:suppressAutoHyphens w:val="false"/>
        <w:spacing w:lineRule="auto" w:line="276" w:before="0" w:after="0"/>
        <w:ind w:left="0" w:right="0" w:hanging="227"/>
        <w:rPr/>
      </w:pPr>
      <w:r>
        <w:rPr>
          <w:rFonts w:eastAsia="Arial Unicode MS" w:cs="Tahoma"/>
          <w:sz w:val="24"/>
          <w:lang w:val="el-GR" w:eastAsia="el-GR"/>
        </w:rPr>
        <w:tab/>
        <w:t xml:space="preserve">Εφόσον απαιτούνται </w:t>
      </w:r>
      <w:r>
        <w:rPr>
          <w:rFonts w:eastAsia="Arial Unicode MS" w:cs="Tahoma"/>
          <w:sz w:val="24"/>
          <w:u w:val="single"/>
          <w:lang w:val="el-GR" w:eastAsia="el-GR"/>
        </w:rPr>
        <w:t>υπεύθυνες δηλώσεις του Ν.1599/1986</w:t>
      </w:r>
      <w:r>
        <w:rPr>
          <w:rFonts w:eastAsia="Arial Unicode MS" w:cs="Tahoma"/>
          <w:sz w:val="24"/>
          <w:lang w:val="el-GR" w:eastAsia="el-GR"/>
        </w:rPr>
        <w:t xml:space="preserve"> από τα τεύχη τεχνικών προδιαγραφών, του Παραρτήματος της παρούσας Διακήρυξης, πρέπει να είναι ψηφιακά υπογεγραμμένες (σύμφωνα με τα οριζόμενα στο παράγραφο 6 του άρθρου 96 του Ν. 4412/2016, ως ισχύει) από τον οικονομικό φορέα.</w:t>
      </w:r>
    </w:p>
    <w:p>
      <w:pPr>
        <w:pStyle w:val="3"/>
        <w:spacing w:lineRule="auto" w:line="276" w:before="120" w:after="0"/>
        <w:ind w:left="0" w:right="0" w:hanging="397"/>
        <w:rPr/>
      </w:pPr>
      <w:bookmarkStart w:id="106" w:name="__RefHeading___Toc35593_1890191151"/>
      <w:bookmarkStart w:id="107" w:name="_Toc492539467"/>
      <w:bookmarkStart w:id="108" w:name="_Toc127963070"/>
      <w:bookmarkEnd w:id="106"/>
      <w:r>
        <w:rPr>
          <w:rFonts w:eastAsia="Arial Unicode MS" w:cs="Calibri" w:ascii="Calibri" w:hAnsi="Calibri"/>
          <w:sz w:val="24"/>
          <w:szCs w:val="24"/>
          <w:lang w:val="el-GR"/>
        </w:rPr>
        <w:t xml:space="preserve">2.4.4. </w:t>
      </w:r>
      <w:bookmarkEnd w:id="107"/>
      <w:bookmarkEnd w:id="108"/>
      <w:r>
        <w:rPr>
          <w:rFonts w:eastAsia="Arial Unicode MS" w:cs="Calibri" w:ascii="Calibri" w:hAnsi="Calibri"/>
          <w:sz w:val="24"/>
          <w:szCs w:val="24"/>
          <w:lang w:val="el-GR"/>
        </w:rPr>
        <w:t>Περιεχόμενα Φακέλου «Οικονομική Προσφορά»/Τρόπος σύνταξης και υποβολής οικονομικών προσφορών.</w:t>
      </w:r>
    </w:p>
    <w:p>
      <w:pPr>
        <w:pStyle w:val="Normal"/>
        <w:rPr>
          <w:rFonts w:ascii="Calibri" w:hAnsi="Calibri" w:eastAsia="Arial Unicode MS" w:cs="Tahoma"/>
          <w:color w:val="auto"/>
          <w:kern w:val="0"/>
          <w:sz w:val="24"/>
          <w:szCs w:val="24"/>
          <w:lang w:val="el-GR" w:eastAsia="el-GR" w:bidi="ar-SA"/>
        </w:rPr>
      </w:pPr>
      <w:bookmarkStart w:id="109" w:name="__RefHeading___Toc35595_1890191151"/>
      <w:bookmarkEnd w:id="109"/>
      <w:r>
        <w:rPr>
          <w:rFonts w:eastAsia="Arial Unicode MS" w:cs="Tahoma"/>
          <w:b w:val="false"/>
          <w:bCs w:val="false"/>
          <w:color w:val="auto"/>
          <w:kern w:val="0"/>
          <w:sz w:val="24"/>
          <w:szCs w:val="24"/>
          <w:lang w:val="el-GR" w:eastAsia="el-GR" w:bidi="ar-SA"/>
        </w:rPr>
        <w:t xml:space="preserve">Η Οικονομική Προσφορά συντάσσεται με βάση το αναγραφόμενο στην παρούσα κριτήριο ανάθεσης όπως ορίζεται στην παράγραφο 2.3.1. της παρούσας και σύμφωνα με το Υπόδειγμα Εντύπου Οικονομικής Προσφοράς (Παράρτημα ΙΙ) το οποίο οι οικονομικοί φορείς </w:t>
      </w:r>
      <w:r>
        <w:rPr>
          <w:rFonts w:eastAsia="Arial Unicode MS" w:cs="Tahoma"/>
          <w:b w:val="false"/>
          <w:bCs w:val="false"/>
          <w:color w:val="auto"/>
          <w:kern w:val="0"/>
          <w:sz w:val="24"/>
          <w:szCs w:val="24"/>
          <w:u w:val="single"/>
          <w:lang w:val="el-GR" w:eastAsia="el-GR" w:bidi="ar-SA"/>
        </w:rPr>
        <w:t>συμπληρώνουν για κάθε Τμήμα που επιθυμούν να συμμετέχουν και για κάθε Κτίριο ξεχωριστά.</w:t>
      </w:r>
    </w:p>
    <w:p>
      <w:pPr>
        <w:pStyle w:val="Normal"/>
        <w:rPr>
          <w:rFonts w:ascii="Calibri" w:hAnsi="Calibri" w:eastAsia="Arial Unicode MS" w:cs="Tahoma"/>
          <w:color w:val="auto"/>
          <w:kern w:val="0"/>
          <w:sz w:val="24"/>
          <w:szCs w:val="24"/>
          <w:lang w:val="el-GR" w:eastAsia="el-GR" w:bidi="ar-SA"/>
        </w:rPr>
      </w:pPr>
      <w:bookmarkStart w:id="110" w:name="__RefHeading___Toc35597_1890191151"/>
      <w:bookmarkEnd w:id="110"/>
      <w:r>
        <w:rPr>
          <w:rFonts w:eastAsia="Arial Unicode MS" w:cs="Tahoma"/>
          <w:color w:val="auto"/>
          <w:kern w:val="0"/>
          <w:sz w:val="24"/>
          <w:szCs w:val="24"/>
          <w:lang w:val="el-GR" w:eastAsia="el-GR" w:bidi="ar-SA"/>
        </w:rPr>
        <w:t xml:space="preserve">Η οικονομική προσφορά υποβάλλεται ηλεκτρονικά επί ποινή απορρίψεως στον (υπο)φάκελο «Οικονομική Προσφορά». </w:t>
      </w:r>
    </w:p>
    <w:p>
      <w:pPr>
        <w:pStyle w:val="Normal"/>
        <w:rPr>
          <w:rFonts w:ascii="Calibri" w:hAnsi="Calibri" w:eastAsia="Arial Unicode MS" w:cs="Tahoma"/>
          <w:color w:val="auto"/>
          <w:kern w:val="0"/>
          <w:sz w:val="24"/>
          <w:szCs w:val="24"/>
          <w:lang w:val="el-GR" w:eastAsia="el-GR" w:bidi="ar-SA"/>
        </w:rPr>
      </w:pPr>
      <w:r>
        <w:rPr>
          <w:rFonts w:eastAsia="Arial Unicode MS" w:cs="Tahoma"/>
          <w:color w:val="auto"/>
          <w:kern w:val="0"/>
          <w:sz w:val="24"/>
          <w:szCs w:val="24"/>
          <w:lang w:val="el-GR" w:eastAsia="el-GR" w:bidi="ar-SA"/>
        </w:rPr>
        <w:t>Ο</w:t>
      </w:r>
      <w:r>
        <w:rPr>
          <w:rFonts w:eastAsia="Arial Unicode MS" w:cs="Tahoma"/>
          <w:b w:val="false"/>
          <w:bCs w:val="false"/>
          <w:color w:val="auto"/>
          <w:kern w:val="0"/>
          <w:sz w:val="24"/>
          <w:szCs w:val="24"/>
          <w:lang w:val="el-GR" w:eastAsia="el-GR" w:bidi="ar-SA"/>
        </w:rPr>
        <w:t>ι Οικονομικοί Φορείς θα υποβάλλουν προσφορά για το Τμήμα ή για τα Τμήματα που επιθυμούν να συμμετέχουν, συμπληρώνοντας για κάθε Τμήμα, τον Πίνακα του Παραρτήματος ΙΙ του παρόντος.</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76" w:before="0" w:after="0"/>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Οι συμμετέχοντες οικονομικοί φορείς οφείλουν σύμφωνα με το άρθρο 68 του Ν.3863/2010, όπως τροποποιήθηκε με το αρθ.22 του Ν.4144/2013, να αναγράφουν στην προσφορά τους, εκτός  των άλλων τα εξής :</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76" w:before="0" w:after="0"/>
        <w:jc w:val="left"/>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 xml:space="preserve">α) Τον αριθμό των εργαζομένων </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76" w:before="0" w:after="0"/>
        <w:jc w:val="left"/>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 xml:space="preserve">β) Τις ημέρες και τις ώρες εργασίας </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76" w:before="0" w:after="0"/>
        <w:jc w:val="left"/>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 xml:space="preserve">γ) Τη συλλογική σύμβαση εργασίας στην οποία υπάγονται οι εργαζόμενοι </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76" w:before="0" w:after="0"/>
        <w:jc w:val="left"/>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 xml:space="preserve">δ) Το ύψος του προϋπολογισμένου ποσού που αφορά τις πάσης φύσεως νόμιμες αποδοχές αυτών των εργαζομένων </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76" w:before="0" w:after="0"/>
        <w:jc w:val="left"/>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 xml:space="preserve">ε) Το ύψος των ασφαλιστικών εισφορών με βάση τα προϋπολογισθέντα ποσά </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76" w:before="0" w:after="0"/>
        <w:jc w:val="left"/>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 xml:space="preserve">στ) Τα τετραγωνικά μέτρα καθαρισμού ανά άτομο. </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76" w:before="0" w:after="0"/>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Επισημαίνεται ότι τα εν λόγω στοιχεία α΄ έως στ΄ της προηγουμένης παραγράφου, έχουν συμπεριληφθεί στον Πίνακα της Οικονομικής Προσφοράς του Παραρτήματος ΙΙ του παρόντος (ΚΕΦΑΛΑΙΟ Α, ΚΕΦΑΛΑΙΟ Γ) και ως εκ τούτου δεν απαιτείται η υποβολή τους σε ξεχωριστό αρχείο.</w:t>
      </w:r>
    </w:p>
    <w:p>
      <w:pPr>
        <w:pStyle w:val="Standard"/>
        <w:overflowPunct w:val="true"/>
        <w:spacing w:lineRule="auto" w:line="276"/>
        <w:jc w:val="both"/>
        <w:rPr>
          <w:rFonts w:ascii="Calibri" w:hAnsi="Calibri" w:eastAsia="Arial Unicode MS" w:cs="Tahoma"/>
          <w:b w:val="false"/>
          <w:b w:val="false"/>
          <w:bCs w:val="false"/>
          <w:color w:val="auto"/>
          <w:kern w:val="0"/>
          <w:sz w:val="24"/>
          <w:szCs w:val="24"/>
          <w:lang w:val="el-GR" w:eastAsia="el-GR" w:bidi="ar-SA"/>
        </w:rPr>
      </w:pPr>
      <w:r>
        <w:rPr>
          <w:rFonts w:eastAsia="Arial Unicode MS" w:cs="Tahoma" w:ascii="Calibri" w:hAnsi="Calibri"/>
          <w:b w:val="false"/>
          <w:bCs w:val="false"/>
          <w:color w:val="auto"/>
          <w:kern w:val="0"/>
          <w:sz w:val="24"/>
          <w:szCs w:val="24"/>
          <w:lang w:val="el-GR" w:eastAsia="el-GR" w:bidi="ar-SA"/>
        </w:rPr>
      </w:r>
    </w:p>
    <w:p>
      <w:pPr>
        <w:pStyle w:val="Normal"/>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Στην προσφορά τους πρέπει να υπολογίζουν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υποχρεούνται να επισυνάπτουν στην προσφορά αντίγραφο της συλλογικής σύμβασης εργασίας στην οποία τυχόν υπάγονται οι εργαζόμενοι.</w:t>
      </w:r>
    </w:p>
    <w:p>
      <w:pPr>
        <w:pStyle w:val="Normal"/>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 xml:space="preserve">Στη σύμβαση που θα συναφθεί, περιλαμβάνονται τα στοιχεία α΄ έως στ΄ της προηγουμένης παραγράφου καθώς και ειδικός όρος για την εφαρμογή των διατάξεων της εργατικής και ασφαλιστικής νομοθεσίας και της νομοθεσίας περί υγείας και ασφάλειας των εργαζομένων και πρόληψης του επαγγελματικού κινδύνου. </w:t>
      </w:r>
    </w:p>
    <w:p>
      <w:pPr>
        <w:pStyle w:val="Normal"/>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 xml:space="preserve">Όταν δεν αναγράφονται τα ανωτέρω στοιχεία και όροι, η σύμβαση είναι άκυρη και απορρίπτεται η δαπάνη πληρωμής. </w:t>
      </w:r>
    </w:p>
    <w:p>
      <w:pPr>
        <w:pStyle w:val="Normal"/>
        <w:numPr>
          <w:ilvl w:val="0"/>
          <w:numId w:val="26"/>
        </w:numPr>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Ο</w:t>
      </w:r>
      <w:bookmarkStart w:id="111" w:name="__DdeLink__37773_321719137"/>
      <w:r>
        <w:rPr>
          <w:rFonts w:eastAsia="Arial Unicode MS" w:cs="Tahoma"/>
          <w:b w:val="false"/>
          <w:bCs w:val="false"/>
          <w:color w:val="auto"/>
          <w:kern w:val="0"/>
          <w:sz w:val="24"/>
          <w:szCs w:val="24"/>
          <w:lang w:val="el-GR" w:eastAsia="el-GR" w:bidi="ar-SA"/>
        </w:rPr>
        <w:t>ικονομικές προσφορές οι οποίες δεν καλύπτουν τουλάχιστον το κόστος των αμοιβών και της ασφάλισης του προσωπικού καθαριότητας που θα χρησιμοποιηθεί λαμβάνοντας υπόψη την ισχύουσα, κατά το χρόνο υποβολής της προσφοράς, οικεία Συλλογική Σύμβαση των εργαζομένων της χώρας και δεν πληρούν τους όρους υγιεινής και ασφάλειας των εργαζομένων κλπ., καθώς και τα άλλα νόμιμα κόστη δεν θα γίνουν δεκτές.</w:t>
      </w:r>
    </w:p>
    <w:p>
      <w:pPr>
        <w:pStyle w:val="Normal"/>
        <w:numPr>
          <w:ilvl w:val="0"/>
          <w:numId w:val="27"/>
        </w:numPr>
        <w:rPr>
          <w:rFonts w:ascii="Calibri" w:hAnsi="Calibri" w:eastAsia="Arial Unicode MS" w:cs="Tahoma"/>
          <w:b w:val="false"/>
          <w:b w:val="false"/>
          <w:bCs w:val="false"/>
          <w:color w:val="auto"/>
          <w:kern w:val="0"/>
          <w:sz w:val="24"/>
          <w:szCs w:val="24"/>
          <w:lang w:val="el-GR" w:eastAsia="el-GR" w:bidi="ar-SA"/>
        </w:rPr>
      </w:pPr>
      <w:r>
        <w:rPr>
          <w:rFonts w:eastAsia="Arial Unicode MS" w:cs="Tahoma"/>
          <w:b w:val="false"/>
          <w:bCs w:val="false"/>
          <w:color w:val="auto"/>
          <w:kern w:val="0"/>
          <w:sz w:val="24"/>
          <w:szCs w:val="24"/>
          <w:lang w:val="el-GR" w:eastAsia="el-GR" w:bidi="ar-SA"/>
        </w:rPr>
        <w:t>Παράλληλα με τη συμπλήρωση του Πίνακα της Οικονομικής Προσφοράς για τα Τμήματα που οι υποψήφιοι ανάδοχοι επιθυμούν, θα υποβληθεί κατάσταση με διευκρινιστική ανάλυση του υπολογισμού, για κάθε τμήμα, της συνολικά προσφερόμενης τιμής και πιο συγκεκριμένα θα πρέπει να γίνει αναλυτικός υπολογισμός της οικονομικής προσφοράς για κάθε τμήμα, με σαφή και επεξηγηματικό τρόπο, προκειμένου να μπορεί άμεσα και εύκολα να ελέγχονται όλα τα επιμέρους κόστη και η συνολικά προκύπτουσα προσφερόμενη τιμή.</w:t>
      </w:r>
    </w:p>
    <w:p>
      <w:pPr>
        <w:pStyle w:val="Normal"/>
        <w:rPr>
          <w:rFonts w:ascii="Calibri" w:hAnsi="Calibri" w:eastAsia="Arial Unicode MS" w:cs="Tahoma"/>
          <w:b w:val="false"/>
          <w:b w:val="false"/>
          <w:bCs w:val="false"/>
          <w:color w:val="auto"/>
          <w:kern w:val="0"/>
          <w:sz w:val="24"/>
          <w:szCs w:val="24"/>
          <w:lang w:val="el-GR" w:eastAsia="el-GR" w:bidi="ar-SA"/>
        </w:rPr>
      </w:pPr>
      <w:bookmarkStart w:id="112" w:name="__RefHeading___Toc35599_1890191151"/>
      <w:bookmarkEnd w:id="112"/>
      <w:r>
        <w:rPr>
          <w:rFonts w:eastAsia="Arial Unicode MS" w:cs="Tahoma"/>
          <w:b w:val="false"/>
          <w:bCs w:val="false"/>
          <w:color w:val="auto"/>
          <w:kern w:val="0"/>
          <w:sz w:val="24"/>
          <w:szCs w:val="24"/>
          <w:lang w:val="el-GR" w:eastAsia="el-GR" w:bidi="ar-SA"/>
        </w:rPr>
        <w:t xml:space="preserve">Σημείωση: </w:t>
      </w:r>
    </w:p>
    <w:p>
      <w:pPr>
        <w:pStyle w:val="Normal"/>
        <w:numPr>
          <w:ilvl w:val="0"/>
          <w:numId w:val="11"/>
        </w:numPr>
        <w:rPr>
          <w:rFonts w:ascii="Calibri" w:hAnsi="Calibri" w:eastAsia="Arial Unicode MS" w:cs="Tahoma"/>
          <w:b w:val="false"/>
          <w:b w:val="false"/>
          <w:bCs w:val="false"/>
          <w:color w:val="auto"/>
          <w:kern w:val="0"/>
          <w:sz w:val="24"/>
          <w:szCs w:val="24"/>
          <w:lang w:val="el-GR" w:eastAsia="el-GR" w:bidi="ar-SA"/>
        </w:rPr>
      </w:pPr>
      <w:bookmarkStart w:id="113" w:name="__RefHeading___Toc35601_1890191151"/>
      <w:bookmarkEnd w:id="113"/>
      <w:r>
        <w:rPr>
          <w:rFonts w:eastAsia="Arial Unicode MS" w:cs="Tahoma"/>
          <w:b w:val="false"/>
          <w:bCs w:val="false"/>
          <w:color w:val="auto"/>
          <w:kern w:val="0"/>
          <w:sz w:val="24"/>
          <w:szCs w:val="24"/>
          <w:lang w:val="el-GR" w:eastAsia="el-GR" w:bidi="ar-SA"/>
        </w:rPr>
        <w:t xml:space="preserve">Ασφαλισμένος που απασχολείται κάτω από τριάντα (30) ώρες την εβδομάδα θα πρέπει να ασφαλιστεί με ΚΠΚ 101 που αφορά την μερική απασχόληση ή εκ περιτροπής απασχόληση στα ΜΙΚΤΑ ΤΕΑΜ. </w:t>
      </w:r>
    </w:p>
    <w:p>
      <w:pPr>
        <w:pStyle w:val="Normal"/>
        <w:numPr>
          <w:ilvl w:val="0"/>
          <w:numId w:val="11"/>
        </w:numPr>
        <w:rPr>
          <w:rFonts w:ascii="Calibri" w:hAnsi="Calibri" w:eastAsia="Arial Unicode MS" w:cs="Tahoma"/>
          <w:b w:val="false"/>
          <w:b w:val="false"/>
          <w:bCs w:val="false"/>
          <w:color w:val="auto"/>
          <w:kern w:val="0"/>
          <w:sz w:val="24"/>
          <w:szCs w:val="24"/>
          <w:lang w:val="el-GR" w:eastAsia="el-GR" w:bidi="ar-SA"/>
        </w:rPr>
      </w:pPr>
      <w:bookmarkStart w:id="114" w:name="__RefHeading___Toc35603_1890191151"/>
      <w:bookmarkEnd w:id="114"/>
      <w:r>
        <w:rPr>
          <w:rFonts w:eastAsia="Arial Unicode MS" w:cs="Tahoma"/>
          <w:b w:val="false"/>
          <w:bCs w:val="false"/>
          <w:color w:val="auto"/>
          <w:kern w:val="0"/>
          <w:sz w:val="24"/>
          <w:szCs w:val="24"/>
          <w:lang w:val="el-GR" w:eastAsia="el-GR" w:bidi="ar-SA"/>
        </w:rPr>
        <w:t xml:space="preserve">Ασφαλισμένος που απασχολείται πέντε (5) ώρες την ημέρα και πάνω ή τριάντα (30) ώρες συνολικά την εβδομάδα, (σε 5νθήμερη απασχόληση θα πρέπει να παρέχεται επί έξι (6) ώρες την ημέρα) η απασχόληση θεωρείται Πλήρης βάση των εγκύκλιων  82/1985 &amp; 27/2012 και θα πρέπει να ασφαλιστεί με ΚΠΚ 3133 που αφορά μερική ή εκ περιτροπής απασχόληση στα ΒΑΡΕΑ-ΤΕΑΜ. </w:t>
      </w:r>
    </w:p>
    <w:p>
      <w:pPr>
        <w:pStyle w:val="Normal"/>
        <w:numPr>
          <w:ilvl w:val="0"/>
          <w:numId w:val="11"/>
        </w:numPr>
        <w:rPr>
          <w:rFonts w:ascii="Calibri" w:hAnsi="Calibri" w:eastAsia="Arial Unicode MS" w:cs="Tahoma"/>
          <w:b w:val="false"/>
          <w:b w:val="false"/>
          <w:bCs w:val="false"/>
          <w:color w:val="auto"/>
          <w:kern w:val="0"/>
          <w:sz w:val="24"/>
          <w:szCs w:val="24"/>
          <w:lang w:val="el-GR" w:eastAsia="el-GR" w:bidi="ar-SA"/>
        </w:rPr>
      </w:pPr>
      <w:bookmarkStart w:id="115" w:name="__RefHeading___Toc35605_1890191151"/>
      <w:bookmarkEnd w:id="115"/>
      <w:r>
        <w:rPr>
          <w:rFonts w:eastAsia="Arial Unicode MS" w:cs="Tahoma"/>
          <w:b w:val="false"/>
          <w:bCs w:val="false"/>
          <w:color w:val="auto"/>
          <w:kern w:val="0"/>
          <w:sz w:val="24"/>
          <w:szCs w:val="24"/>
          <w:lang w:val="el-GR" w:eastAsia="el-GR" w:bidi="ar-SA"/>
        </w:rPr>
        <w:t>Ασφαλισμένος που απασχολείται σαράντα (40) ώρες εβδομαδιαίως θα πρέπει να ασφαλιστεί με πλήρη απασχόληση ΚΠΚ 105 στα ΒΑΡΕΑ-ΤΕΑΜ.</w:t>
      </w:r>
      <w:bookmarkEnd w:id="111"/>
    </w:p>
    <w:p>
      <w:pPr>
        <w:pStyle w:val="Normal"/>
        <w:rPr/>
      </w:pPr>
      <w:r>
        <w:rPr/>
      </w:r>
    </w:p>
    <w:p>
      <w:pPr>
        <w:pStyle w:val="Normal"/>
        <w:spacing w:lineRule="auto" w:line="276" w:before="0" w:after="0"/>
        <w:rPr>
          <w:rFonts w:eastAsia="Arial Unicode MS"/>
          <w:b/>
          <w:b/>
          <w:sz w:val="24"/>
          <w:lang w:val="el-GR" w:eastAsia="el-GR"/>
        </w:rPr>
      </w:pPr>
      <w:r>
        <w:rPr>
          <w:rFonts w:eastAsia="Arial Unicode MS"/>
          <w:b/>
          <w:sz w:val="24"/>
          <w:lang w:val="el-GR" w:eastAsia="el-GR"/>
        </w:rPr>
        <w:t>Α. Τιμές</w:t>
      </w:r>
    </w:p>
    <w:p>
      <w:pPr>
        <w:pStyle w:val="Normal"/>
        <w:spacing w:lineRule="auto" w:line="276" w:before="0" w:after="0"/>
        <w:rPr>
          <w:rFonts w:eastAsia="Arial Unicode MS" w:cs="Tahoma"/>
          <w:sz w:val="24"/>
          <w:lang w:val="el-GR" w:eastAsia="el-GR"/>
        </w:rPr>
      </w:pPr>
      <w:r>
        <w:rPr>
          <w:rFonts w:eastAsia="Arial Unicode MS" w:cs="Tahoma"/>
          <w:sz w:val="24"/>
          <w:lang w:val="el-GR" w:eastAsia="el-GR"/>
        </w:rPr>
        <w:t xml:space="preserve">Η τιμή των παρεχόμενων υπηρεσιών θα δίνεται σε ευρώ (€) για κάθε Τμήμα χωριστά . </w:t>
      </w:r>
    </w:p>
    <w:p>
      <w:pPr>
        <w:pStyle w:val="Normal"/>
        <w:spacing w:lineRule="auto" w:line="276" w:before="0" w:after="0"/>
        <w:rPr>
          <w:rFonts w:eastAsia="Arial Unicode MS" w:cs="Tahoma"/>
          <w:b/>
          <w:b/>
          <w:sz w:val="24"/>
          <w:highlight w:val="lightGray"/>
          <w:lang w:val="el-GR" w:eastAsia="el-GR"/>
        </w:rPr>
      </w:pPr>
      <w:r>
        <w:rPr>
          <w:rFonts w:eastAsia="Arial Unicode MS" w:cs="Tahoma"/>
          <w:b/>
          <w:sz w:val="24"/>
          <w:highlight w:val="lightGray"/>
          <w:lang w:val="el-GR" w:eastAsia="el-GR"/>
        </w:rPr>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eastAsia="Arial Unicode MS" w:cs="Tahoma"/>
          <w:b/>
          <w:sz w:val="24"/>
          <w:lang w:val="el-GR" w:eastAsia="el-GR"/>
        </w:rPr>
        <w:t>Επισημαίνεται ότι, στην ειδική ηλεκτρονική φόρμα</w:t>
      </w:r>
      <w:r>
        <w:rPr>
          <w:rFonts w:eastAsia="Arial Unicode MS" w:cs="Tahoma"/>
          <w:sz w:val="24"/>
          <w:lang w:val="el-GR" w:eastAsia="el-GR"/>
        </w:rPr>
        <w:t xml:space="preserve"> του συστήματος οι συμμετέχοντες θα συμπληρώσουν την προσφερόμενη τιμή </w:t>
      </w:r>
      <w:r>
        <w:rPr>
          <w:rFonts w:eastAsia="Arial Unicode MS" w:cs="Tahoma"/>
          <w:b/>
          <w:sz w:val="24"/>
          <w:lang w:val="el-GR" w:eastAsia="el-GR"/>
        </w:rPr>
        <w:t xml:space="preserve">ΓΙΑ ΧΡΟΝΙΚΟ ΔΙΑΣΤΗΜΑ 24 ΜΗΝΩΝ πλέον ΦΠΑ για κάθε Τμήμα. </w:t>
      </w:r>
    </w:p>
    <w:p>
      <w:pPr>
        <w:pStyle w:val="Normal"/>
        <w:spacing w:lineRule="auto" w:line="276" w:before="0" w:after="0"/>
        <w:rPr>
          <w:rFonts w:eastAsia="Arial Unicode MS" w:cs="Tahoma"/>
          <w:sz w:val="24"/>
          <w:highlight w:val="lightGray"/>
          <w:lang w:val="el-GR" w:eastAsia="el-GR"/>
        </w:rPr>
      </w:pPr>
      <w:r>
        <w:rPr>
          <w:rFonts w:eastAsia="Arial Unicode MS" w:cs="Tahoma"/>
          <w:sz w:val="24"/>
          <w:highlight w:val="lightGray"/>
          <w:lang w:val="el-GR" w:eastAsia="el-GR"/>
        </w:rPr>
      </w:r>
    </w:p>
    <w:p>
      <w:pPr>
        <w:pStyle w:val="Normal"/>
        <w:spacing w:lineRule="auto" w:line="276" w:before="0" w:after="0"/>
        <w:rPr>
          <w:rFonts w:eastAsia="Arial Unicode MS" w:cs="Tahoma"/>
          <w:b/>
          <w:b/>
          <w:iCs/>
          <w:sz w:val="24"/>
          <w:highlight w:val="lightGray"/>
          <w:u w:val="single"/>
          <w:lang w:val="el-GR"/>
        </w:rPr>
      </w:pPr>
      <w:r>
        <w:rPr>
          <w:rFonts w:eastAsia="Arial Unicode MS" w:cs="Tahoma"/>
          <w:b/>
          <w:iCs/>
          <w:sz w:val="24"/>
          <w:highlight w:val="lightGray"/>
          <w:u w:val="single"/>
          <w:lang w:val="el-GR"/>
        </w:rPr>
        <w:t>Καθώς η οικονομική προσφορά δεν έχει αποτυπωθεί στο σύστημα αναλυτικά , ο προσφέρων θα  επισυνάψει στον (υπο)φάκελο “οικονομική προσφορά” την ηλεκτρονική οικονομική προσφορά του ψηφιακά υπογεγραμμένη και τα σχετικά ηλεκτρονικά αρχεία σε μορφή pdf (σύμφωνα με το υπόδειγμα του Παραρτήματος ΙΙ της παρούσας).</w:t>
      </w:r>
    </w:p>
    <w:p>
      <w:pPr>
        <w:pStyle w:val="Normal"/>
        <w:spacing w:lineRule="auto" w:line="276" w:before="0" w:after="0"/>
        <w:rPr>
          <w:rFonts w:eastAsia="Arial Unicode MS" w:cs="Tahoma"/>
          <w:sz w:val="24"/>
          <w:lang w:val="el-GR" w:eastAsia="el-GR"/>
        </w:rPr>
      </w:pPr>
      <w:r>
        <w:rPr>
          <w:rFonts w:eastAsia="Arial Unicode MS" w:cs="Tahoma"/>
          <w:sz w:val="24"/>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pPr>
        <w:pStyle w:val="Normal"/>
        <w:spacing w:lineRule="auto" w:line="276" w:before="0" w:after="0"/>
        <w:rPr>
          <w:rFonts w:eastAsia="Arial Unicode MS" w:cs="Tahoma"/>
          <w:sz w:val="24"/>
          <w:lang w:val="el-GR"/>
        </w:rPr>
      </w:pPr>
      <w:r>
        <w:rPr>
          <w:rFonts w:eastAsia="Arial Unicode MS" w:cs="Tahoma"/>
          <w:sz w:val="24"/>
          <w:lang w:val="el-GR"/>
        </w:rPr>
        <w:t>Οι υπέρ τρίτων κρατήσεις υπόκεινται στο εκάστοτε ισχύον αναλογικό τέλος χαρτοσήμου 3% και στην επ’ αυτού εισφορά υπέρ ΟΓΑ 20%.</w:t>
      </w:r>
    </w:p>
    <w:p>
      <w:pPr>
        <w:pStyle w:val="Normal"/>
        <w:spacing w:lineRule="auto" w:line="276" w:before="0" w:after="0"/>
        <w:rPr>
          <w:rFonts w:eastAsia="Arial Unicode MS" w:cs="Tahoma"/>
          <w:sz w:val="24"/>
          <w:lang w:val="el-GR"/>
        </w:rPr>
      </w:pPr>
      <w:r>
        <w:rPr>
          <w:rFonts w:eastAsia="Arial Unicode MS" w:cs="Tahoma"/>
          <w:sz w:val="24"/>
          <w:lang w:val="el-GR"/>
        </w:rPr>
        <w:t>Οι προσφερόμενες τιμές είναι σταθερές καθ’ όλη τη διάρκεια της σύμβασης και δεν αναπροσαρμόζονται.</w:t>
      </w:r>
    </w:p>
    <w:p>
      <w:pPr>
        <w:pStyle w:val="Normal"/>
        <w:shd w:val="clear" w:color="auto" w:fill="FFFFFF"/>
        <w:spacing w:lineRule="auto" w:line="276" w:before="0" w:after="0"/>
        <w:ind w:left="23" w:right="159" w:hanging="0"/>
        <w:rPr>
          <w:rFonts w:eastAsia="Arial Unicode MS" w:cs="Tahoma"/>
          <w:sz w:val="24"/>
          <w:lang w:val="el-GR"/>
        </w:rPr>
      </w:pPr>
      <w:r>
        <w:rPr>
          <w:rFonts w:eastAsia="Arial Unicode MS" w:cs="Tahoma"/>
          <w:sz w:val="24"/>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 άρθρο 1.3 της παρούσας Διακήρυξης. </w:t>
      </w:r>
    </w:p>
    <w:p>
      <w:pPr>
        <w:pStyle w:val="Standard"/>
        <w:spacing w:lineRule="auto" w:line="276"/>
        <w:jc w:val="both"/>
        <w:rPr>
          <w:rFonts w:cs="Calibri"/>
          <w:b/>
          <w:b/>
        </w:rPr>
      </w:pPr>
      <w:r>
        <w:rPr>
          <w:rFonts w:cs="Calibri"/>
          <w:b/>
        </w:rPr>
      </w:r>
    </w:p>
    <w:p>
      <w:pPr>
        <w:pStyle w:val="Standard"/>
        <w:spacing w:lineRule="auto" w:line="276"/>
        <w:jc w:val="both"/>
        <w:rPr>
          <w:rFonts w:ascii="Calibri" w:hAnsi="Calibri" w:cs="Calibri"/>
          <w:b/>
          <w:b/>
        </w:rPr>
      </w:pPr>
      <w:r>
        <w:rPr>
          <w:rFonts w:cs="Calibri" w:ascii="Calibri" w:hAnsi="Calibri"/>
          <w:b/>
        </w:rPr>
        <w:t>Β. Κρατήσεις</w:t>
      </w:r>
    </w:p>
    <w:p>
      <w:pPr>
        <w:pStyle w:val="Normal"/>
        <w:spacing w:lineRule="auto" w:line="276"/>
        <w:rPr/>
      </w:pPr>
      <w:r>
        <w:rPr>
          <w:b/>
          <w:bCs/>
          <w:sz w:val="24"/>
          <w:lang w:val="el-GR"/>
        </w:rPr>
        <w:t>α)</w:t>
      </w:r>
      <w:r>
        <w:rPr>
          <w:sz w:val="24"/>
          <w:lang w:val="el-GR"/>
        </w:rPr>
        <w:t xml:space="preserve"> Κράτηση </w:t>
      </w:r>
      <w:r>
        <w:rPr>
          <w:b/>
          <w:bCs/>
          <w:sz w:val="24"/>
          <w:lang w:val="el-GR"/>
        </w:rPr>
        <w:t>0,10%</w:t>
      </w:r>
      <w:r>
        <w:rPr>
          <w:sz w:val="24"/>
          <w:lang w:val="el-GR"/>
        </w:rPr>
        <w:t xml:space="preserve"> υπέρ της </w:t>
      </w:r>
      <w:r>
        <w:rPr>
          <w:b/>
          <w:bCs/>
          <w:sz w:val="24"/>
        </w:rPr>
        <w:t> </w:t>
      </w:r>
      <w:r>
        <w:rPr>
          <w:b/>
          <w:bCs/>
          <w:sz w:val="24"/>
          <w:lang w:val="el-GR"/>
        </w:rPr>
        <w:t xml:space="preserve">Ενιαίας Αρχής Δημοσίων Συμβάσεων </w:t>
      </w:r>
      <w:r>
        <w:rPr>
          <w:sz w:val="24"/>
          <w:lang w:val="el-GR"/>
        </w:rPr>
        <w:t>(Ν.4912/2022, ΦΕΚ Α 59/17-03-2022) η οποία υπολογίζεται επί της αξίας κάθε πληρωμής προ φόρων και κρατήσεων της αρχικής, καθώς και κάθε συμπληρωματικής ή τροποποιητικής σύμβασης. Το ποσό της κράτησης παρακρατείται από την αναθέτουσα αρχή στο όνομα και για λογαριασμό της Ενιαίας Αρχής Δημοσίων Συμβάσεων (Ε.Α.ΔΗ.ΣΥ. ) και κατατίθεται σε ειδικό τραπεζικό λογαριασμό.</w:t>
      </w:r>
    </w:p>
    <w:p>
      <w:pPr>
        <w:pStyle w:val="Normal"/>
        <w:spacing w:lineRule="auto" w:line="276"/>
        <w:rPr/>
      </w:pPr>
      <w:r>
        <w:rPr>
          <w:b/>
          <w:bCs/>
          <w:sz w:val="24"/>
          <w:lang w:val="el-GR"/>
        </w:rPr>
        <w:t xml:space="preserve">β) </w:t>
      </w:r>
      <w:r>
        <w:rPr>
          <w:sz w:val="24"/>
          <w:lang w:val="el-GR"/>
        </w:rPr>
        <w:t xml:space="preserve">Κράτηση </w:t>
      </w:r>
      <w:r>
        <w:rPr>
          <w:color w:val="000000"/>
          <w:sz w:val="24"/>
          <w:lang w:val="el-GR"/>
        </w:rPr>
        <w:t xml:space="preserve">ύψους </w:t>
      </w:r>
      <w:r>
        <w:rPr>
          <w:b/>
          <w:color w:val="000000"/>
          <w:sz w:val="24"/>
          <w:lang w:val="el-GR"/>
        </w:rPr>
        <w:t>0,02%</w:t>
      </w:r>
      <w:r>
        <w:rPr>
          <w:color w:val="000000"/>
          <w:sz w:val="24"/>
          <w:lang w:val="el-GR"/>
        </w:rPr>
        <w:t xml:space="preserve"> υπέρ της ανάπτυξης και συντήρησης του ΟΠΣ ΕΣΗΔΗΣ, η οποία υπολογίζεται επί της αξίας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το οποίο αρμοδίως ρυθμίζει θέματα σχετικά με τον χρόνο, τον τρόπο και τη διαδικασία κράτησης των ως άνω χρηματικών ποσών, καθώς και κάθε άλλο αναγκαίο θέμα για την εφαρμογή της διάταξης.</w:t>
      </w:r>
    </w:p>
    <w:p>
      <w:pPr>
        <w:pStyle w:val="Normal"/>
        <w:spacing w:lineRule="auto" w:line="276"/>
        <w:rPr>
          <w:b/>
          <w:b/>
          <w:bCs/>
          <w:sz w:val="24"/>
          <w:lang w:val="el-GR"/>
        </w:rPr>
      </w:pPr>
      <w:r>
        <w:rPr>
          <w:b/>
          <w:bCs/>
          <w:sz w:val="24"/>
          <w:lang w:val="el-GR"/>
        </w:rPr>
        <w:t>γ) Οι υπέρ τρίτων κρατήσεις υπόκεινται στο εκάστοτε ισχύον αναλογικό τέλος χαρτοσήμου 3% και επ’ αυτού εισφορά υπέρ ΟΓΑ 20% .</w:t>
      </w:r>
    </w:p>
    <w:p>
      <w:pPr>
        <w:pStyle w:val="Normal"/>
        <w:spacing w:lineRule="auto" w:line="276"/>
        <w:rPr>
          <w:sz w:val="24"/>
          <w:lang w:val="el-GR"/>
        </w:rPr>
      </w:pPr>
      <w:r>
        <w:rPr>
          <w:sz w:val="24"/>
          <w:lang w:val="el-GR"/>
        </w:rPr>
        <w:t>Με κάθε πληρωμή θα γίνεται η προβλεπόμενη από την κείμενη νομοθεσία παρακράτηση φόρου εισοδήματος</w:t>
      </w:r>
    </w:p>
    <w:p>
      <w:pPr>
        <w:pStyle w:val="Standard"/>
        <w:spacing w:lineRule="auto" w:line="276"/>
        <w:jc w:val="both"/>
        <w:rPr>
          <w:rFonts w:ascii="Calibri" w:hAnsi="Calibri" w:eastAsia="Arial Unicode MS" w:cs="Calibri"/>
        </w:rPr>
      </w:pPr>
      <w:r>
        <w:rPr>
          <w:rFonts w:eastAsia="Arial Unicode MS" w:cs="Calibri" w:ascii="Calibri" w:hAnsi="Calibri"/>
        </w:rPr>
      </w:r>
    </w:p>
    <w:p>
      <w:pPr>
        <w:pStyle w:val="3"/>
        <w:spacing w:lineRule="auto" w:line="276" w:before="0" w:after="0"/>
        <w:ind w:left="207" w:right="0" w:hanging="207"/>
        <w:rPr/>
      </w:pPr>
      <w:bookmarkStart w:id="116" w:name="__RefHeading___Toc35607_1890191151"/>
      <w:bookmarkStart w:id="117" w:name="_Toc492539468"/>
      <w:bookmarkStart w:id="118" w:name="_Toc127963071"/>
      <w:bookmarkEnd w:id="116"/>
      <w:r>
        <w:rPr>
          <w:rFonts w:eastAsia="Arial Unicode MS" w:cs="Calibri" w:ascii="Calibri" w:hAnsi="Calibri"/>
          <w:sz w:val="24"/>
          <w:szCs w:val="24"/>
          <w:lang w:val="el-GR"/>
        </w:rPr>
        <w:t>2.4.5</w:t>
        <w:tab/>
        <w:t xml:space="preserve"> Χρόνος ισχύος των προσφορών</w:t>
      </w:r>
      <w:bookmarkEnd w:id="117"/>
      <w:bookmarkEnd w:id="118"/>
      <w:r>
        <w:rPr>
          <w:rFonts w:eastAsia="Arial Unicode MS" w:cs="Calibri" w:ascii="Calibri" w:hAnsi="Calibri"/>
          <w:sz w:val="24"/>
          <w:szCs w:val="24"/>
          <w:lang w:val="el-GR"/>
        </w:rPr>
        <w:t xml:space="preserve">  </w:t>
      </w:r>
    </w:p>
    <w:p>
      <w:pPr>
        <w:pStyle w:val="Normal"/>
        <w:spacing w:lineRule="auto" w:line="276"/>
        <w:rPr/>
      </w:pPr>
      <w:r>
        <w:rPr>
          <w:rFonts w:eastAsia="Arial Unicode MS"/>
          <w:sz w:val="24"/>
          <w:lang w:val="el-GR" w:eastAsia="el-GR"/>
        </w:rPr>
        <w:t xml:space="preserve">Οι υποβαλλόμενες προσφορές ισχύουν και δεσμεύουν τους οικονομικούς φορείς για </w:t>
      </w:r>
      <w:r>
        <w:rPr>
          <w:rFonts w:eastAsia="Arial Unicode MS"/>
          <w:color w:val="000000"/>
          <w:sz w:val="24"/>
          <w:lang w:val="el-GR" w:eastAsia="el-GR"/>
        </w:rPr>
        <w:t xml:space="preserve">διάστημα </w:t>
      </w:r>
      <w:r>
        <w:rPr>
          <w:rFonts w:eastAsia="Arial Unicode MS"/>
          <w:b/>
          <w:color w:val="000000"/>
          <w:sz w:val="24"/>
          <w:lang w:val="el-GR" w:eastAsia="el-GR"/>
        </w:rPr>
        <w:t xml:space="preserve">6 μηνών </w:t>
      </w:r>
      <w:r>
        <w:rPr>
          <w:rFonts w:eastAsia="Arial Unicode MS"/>
          <w:color w:val="000000"/>
          <w:sz w:val="24"/>
          <w:lang w:val="el-GR" w:eastAsia="el-GR"/>
        </w:rPr>
        <w:t xml:space="preserve"> </w:t>
      </w:r>
      <w:r>
        <w:rPr>
          <w:rFonts w:eastAsia="Arial Unicode MS"/>
          <w:b/>
          <w:color w:val="000000"/>
          <w:sz w:val="24"/>
          <w:lang w:val="el-GR" w:eastAsia="el-GR"/>
        </w:rPr>
        <w:t xml:space="preserve">από </w:t>
      </w:r>
      <w:r>
        <w:rPr>
          <w:rFonts w:eastAsia="Arial Unicode MS"/>
          <w:b/>
          <w:sz w:val="24"/>
          <w:lang w:val="el-GR" w:eastAsia="el-GR"/>
        </w:rPr>
        <w:t>την επόμενη της καταληκτικής ημερομηνίας υποβολής προσφορών του διαγωνισμού</w:t>
      </w:r>
      <w:r>
        <w:rPr>
          <w:rFonts w:eastAsia="Arial Unicode MS"/>
          <w:sz w:val="24"/>
          <w:lang w:val="el-GR" w:eastAsia="el-GR"/>
        </w:rPr>
        <w:t>, όπως αυτή ορίζεται στο άρθρο 1.5 της παρούσας Διακήρυξης.</w:t>
      </w:r>
    </w:p>
    <w:p>
      <w:pPr>
        <w:pStyle w:val="Normal"/>
        <w:spacing w:lineRule="auto" w:line="276"/>
        <w:rPr/>
      </w:pPr>
      <w:r>
        <w:rPr>
          <w:rFonts w:eastAsia="Arial Unicode MS"/>
          <w:b/>
          <w:sz w:val="24"/>
          <w:lang w:val="el-GR" w:eastAsia="el-GR"/>
        </w:rPr>
        <w:t>Προσφορά η οποία ορίζει χρόνο ισχύος μικρότερο από τον ανωτέρω προβλεπόμενο απορρίπτεται</w:t>
      </w:r>
      <w:r>
        <w:rPr>
          <w:rFonts w:eastAsia="Arial Unicode MS"/>
          <w:sz w:val="24"/>
          <w:lang w:val="el-GR" w:eastAsia="el-GR"/>
        </w:rPr>
        <w:t>.</w:t>
      </w:r>
    </w:p>
    <w:p>
      <w:pPr>
        <w:pStyle w:val="Normal"/>
        <w:shd w:val="clear" w:color="auto" w:fill="F2F2F2"/>
        <w:spacing w:lineRule="auto" w:line="276"/>
        <w:rPr>
          <w:rFonts w:eastAsia="Arial Unicode MS"/>
          <w:b/>
          <w:b/>
          <w:sz w:val="24"/>
          <w:lang w:val="el-GR" w:eastAsia="el-GR"/>
        </w:rPr>
      </w:pPr>
      <w:r>
        <w:rPr>
          <w:rFonts w:eastAsia="Arial Unicode MS"/>
          <w:b/>
          <w:sz w:val="24"/>
          <w:lang w:val="el-GR" w:eastAsia="el-GR"/>
        </w:rPr>
        <w:t>Ο χρόνος ισχύος της προσφοράς δηλώνεται με σχετική δήλωση του προσφέροντα μέσα στον φάκελο «Δικαιολογητικά Συμμετοχής - Τεχνική Προσφορά».</w:t>
      </w:r>
    </w:p>
    <w:p>
      <w:pPr>
        <w:pStyle w:val="Normal"/>
        <w:spacing w:lineRule="auto" w:line="276"/>
        <w:rPr/>
      </w:pPr>
      <w:r>
        <w:rPr>
          <w:rFonts w:eastAsia="Arial Unicode MS"/>
          <w:sz w:val="24"/>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rFonts w:eastAsia="Arial Unicode MS"/>
          <w:sz w:val="24"/>
          <w:lang w:val="el-GR"/>
        </w:rPr>
        <w:t xml:space="preserve">την παράγραφο </w:t>
      </w:r>
      <w:r>
        <w:rPr>
          <w:rFonts w:eastAsia="Arial Unicode MS"/>
          <w:sz w:val="24"/>
          <w:lang w:val="el-GR" w:eastAsia="el-GR"/>
        </w:rPr>
        <w:t>2.2.2. της παρούσας, κατ' ανώτατο όριο για χρονικό διάστημα ίσο με την προβλεπόμενη ως άνω αρχική διάρκεια.</w:t>
      </w:r>
      <w:r>
        <w:rPr>
          <w:rFonts w:eastAsia="Arial Unicode MS"/>
          <w:sz w:val="24"/>
          <w:lang w:val="el-GR"/>
        </w:rPr>
        <w:t xml:space="preserve"> </w:t>
      </w:r>
      <w:r>
        <w:rPr>
          <w:rFonts w:eastAsia="Arial Unicode MS"/>
          <w:sz w:val="24"/>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pPr>
        <w:pStyle w:val="Normal"/>
        <w:spacing w:lineRule="auto" w:line="276"/>
        <w:rPr>
          <w:rFonts w:eastAsia="Arial Unicode MS"/>
          <w:sz w:val="24"/>
          <w:lang w:val="el-GR" w:eastAsia="el-GR"/>
        </w:rPr>
      </w:pPr>
      <w:r>
        <w:rPr>
          <w:rFonts w:eastAsia="Arial Unicode MS"/>
          <w:sz w:val="24"/>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pPr>
        <w:pStyle w:val="Normal"/>
        <w:spacing w:lineRule="auto" w:line="276" w:before="0" w:after="0"/>
        <w:rPr/>
      </w:pPr>
      <w:r>
        <w:rPr>
          <w:rFonts w:eastAsia="Arial Unicode MS"/>
          <w:sz w:val="24"/>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rPr>
          <w:rFonts w:eastAsia="Arial Unicode MS"/>
          <w:b/>
          <w:sz w:val="24"/>
          <w:lang w:val="el-GR" w:eastAsia="el-GR"/>
        </w:rPr>
        <w:t>.</w:t>
      </w:r>
    </w:p>
    <w:p>
      <w:pPr>
        <w:pStyle w:val="Normal"/>
        <w:spacing w:lineRule="auto" w:line="276" w:before="0" w:after="0"/>
        <w:rPr>
          <w:rFonts w:eastAsia="Arial Unicode MS"/>
          <w:b/>
          <w:b/>
          <w:sz w:val="24"/>
          <w:lang w:val="el-GR" w:eastAsia="el-GR"/>
        </w:rPr>
      </w:pPr>
      <w:r>
        <w:rPr>
          <w:rFonts w:eastAsia="Arial Unicode MS"/>
          <w:b/>
          <w:sz w:val="24"/>
          <w:lang w:val="el-GR" w:eastAsia="el-GR"/>
        </w:rPr>
      </w:r>
    </w:p>
    <w:p>
      <w:pPr>
        <w:pStyle w:val="3"/>
        <w:spacing w:lineRule="auto" w:line="276" w:before="0" w:after="0"/>
        <w:ind w:left="207" w:right="0" w:hanging="207"/>
        <w:rPr>
          <w:rFonts w:ascii="Calibri" w:hAnsi="Calibri" w:eastAsia="Arial Unicode MS" w:cs="Calibri"/>
          <w:sz w:val="24"/>
          <w:szCs w:val="24"/>
          <w:lang w:val="el-GR"/>
        </w:rPr>
      </w:pPr>
      <w:bookmarkStart w:id="119" w:name="__RefHeading___Toc35609_1890191151"/>
      <w:bookmarkStart w:id="120" w:name="_Toc492539469"/>
      <w:bookmarkStart w:id="121" w:name="_Toc127963072"/>
      <w:bookmarkEnd w:id="119"/>
      <w:r>
        <w:rPr>
          <w:rFonts w:eastAsia="Arial Unicode MS" w:cs="Calibri" w:ascii="Calibri" w:hAnsi="Calibri"/>
          <w:sz w:val="24"/>
          <w:szCs w:val="24"/>
          <w:lang w:val="el-GR"/>
        </w:rPr>
        <w:t>2.4.6</w:t>
        <w:tab/>
        <w:t xml:space="preserve"> Λόγοι απόρριψης προσφορών</w:t>
      </w:r>
      <w:bookmarkEnd w:id="120"/>
      <w:bookmarkEnd w:id="121"/>
    </w:p>
    <w:p>
      <w:pPr>
        <w:pStyle w:val="Normal"/>
        <w:spacing w:lineRule="auto" w:line="276" w:before="0" w:after="0"/>
        <w:rPr/>
      </w:pPr>
      <w:r>
        <w:rPr>
          <w:rFonts w:eastAsia="Arial Unicode MS"/>
          <w:sz w:val="24"/>
          <w:lang w:val="en-US"/>
        </w:rPr>
        <w:t>H</w:t>
      </w:r>
      <w:r>
        <w:rPr>
          <w:rFonts w:eastAsia="Arial Unicode MS"/>
          <w:sz w:val="24"/>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pPr>
        <w:pStyle w:val="Normal"/>
        <w:spacing w:lineRule="auto" w:line="276" w:before="0" w:after="0"/>
        <w:rPr/>
      </w:pPr>
      <w:r>
        <w:rPr>
          <w:rFonts w:eastAsia="Arial Unicode MS"/>
          <w:b/>
          <w:sz w:val="24"/>
          <w:lang w:val="el-GR"/>
        </w:rPr>
        <w:t>α) η οποία αποκλίνει από απαράβατους όρους</w:t>
      </w:r>
      <w:r>
        <w:rPr>
          <w:rFonts w:eastAsia="Arial Unicode MS"/>
          <w:sz w:val="24"/>
          <w:lang w:val="el-GR"/>
        </w:rPr>
        <w:t xml:space="preserve">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Style14"/>
          <w:rStyle w:val="Style14"/>
          <w:rFonts w:eastAsia="Arial Unicode MS" w:cs="Calibri"/>
          <w:sz w:val="24"/>
          <w:lang w:val="el-GR"/>
        </w:rPr>
        <w:footnoteReference w:id="60"/>
      </w:r>
      <w:r>
        <w:rPr>
          <w:rFonts w:eastAsia="Arial Unicode MS"/>
          <w:sz w:val="24"/>
          <w:lang w:val="el-GR"/>
        </w:rPr>
        <w:t xml:space="preserve"> </w:t>
      </w:r>
    </w:p>
    <w:p>
      <w:pPr>
        <w:pStyle w:val="Normal"/>
        <w:spacing w:lineRule="auto" w:line="276" w:before="0" w:after="0"/>
        <w:rPr/>
      </w:pPr>
      <w:r>
        <w:rPr>
          <w:rFonts w:eastAsia="Arial Unicode MS"/>
          <w:b/>
          <w:sz w:val="24"/>
          <w:lang w:val="el-GR"/>
        </w:rPr>
        <w:t>β) η οποία περιέχει ατελείς, ελλιπείς, ασαφείς</w:t>
      </w:r>
      <w:r>
        <w:rPr>
          <w:rFonts w:eastAsia="Arial Unicode MS"/>
          <w:sz w:val="24"/>
          <w:lang w:val="el-GR"/>
        </w:rPr>
        <w:t xml:space="preserve"> </w:t>
      </w:r>
      <w:r>
        <w:rPr>
          <w:rFonts w:eastAsia="Arial Unicode MS"/>
          <w:b/>
          <w:sz w:val="24"/>
          <w:lang w:val="el-GR"/>
        </w:rPr>
        <w:t>ή λανθασμένες πληροφορίες ή τεκμηρίωση</w:t>
      </w:r>
      <w:r>
        <w:rPr>
          <w:rFonts w:eastAsia="Arial Unicode MS"/>
          <w:sz w:val="24"/>
          <w:lang w:val="el-GR"/>
        </w:rPr>
        <w:t>,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pPr>
        <w:pStyle w:val="Normal"/>
        <w:spacing w:lineRule="auto" w:line="276" w:before="0" w:after="0"/>
        <w:rPr/>
      </w:pPr>
      <w:r>
        <w:rPr>
          <w:rFonts w:eastAsia="Arial Unicode MS"/>
          <w:b/>
          <w:sz w:val="24"/>
          <w:lang w:val="el-GR"/>
        </w:rPr>
        <w:t>γ) για την οποία ο προσφέρων δεν παράσχει τις απαιτούμενες εξηγήσεις</w:t>
      </w:r>
      <w:r>
        <w:rPr>
          <w:rFonts w:eastAsia="Arial Unicode MS"/>
          <w:sz w:val="24"/>
          <w:lang w:val="el-GR"/>
        </w:rPr>
        <w:t>,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pPr>
        <w:pStyle w:val="Normal"/>
        <w:spacing w:lineRule="auto" w:line="276" w:before="0" w:after="0"/>
        <w:rPr/>
      </w:pPr>
      <w:r>
        <w:rPr>
          <w:rFonts w:eastAsia="Arial Unicode MS"/>
          <w:b/>
          <w:sz w:val="24"/>
          <w:lang w:val="el-GR"/>
        </w:rPr>
        <w:t>δ) η οποία είναι εναλλακτική προσφορά</w:t>
      </w:r>
      <w:r>
        <w:rPr>
          <w:rFonts w:eastAsia="Arial Unicode MS"/>
          <w:sz w:val="24"/>
          <w:lang w:val="el-GR"/>
        </w:rPr>
        <w:t xml:space="preserve">, </w:t>
      </w:r>
    </w:p>
    <w:p>
      <w:pPr>
        <w:pStyle w:val="Normal"/>
        <w:spacing w:lineRule="auto" w:line="276" w:before="0" w:after="0"/>
        <w:rPr/>
      </w:pPr>
      <w:r>
        <w:rPr>
          <w:rFonts w:eastAsia="Arial Unicode MS"/>
          <w:b/>
          <w:sz w:val="24"/>
          <w:lang w:val="el-GR"/>
        </w:rPr>
        <w:t>ε) η οποία υποβάλλεται από έναν προσφέροντα που έχει υποβάλλει δύο ή περισσότερες προσφορές</w:t>
      </w:r>
      <w:r>
        <w:rPr>
          <w:rFonts w:eastAsia="Arial Unicode MS"/>
          <w:i/>
          <w:iCs/>
          <w:color w:val="5B9BD5"/>
          <w:sz w:val="24"/>
          <w:lang w:val="el-GR"/>
        </w:rPr>
        <w:t>.</w:t>
      </w:r>
      <w:r>
        <w:rPr>
          <w:rFonts w:eastAsia="Arial Unicode MS"/>
          <w:sz w:val="24"/>
          <w:lang w:val="el-GR"/>
        </w:rPr>
        <w:t xml:space="preserve"> Ο περιορισμός αυτός ισχύει, υπό τους όρους της παραγράφου 2.2.3.4 περ.γ της παρούσας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pPr>
        <w:pStyle w:val="Normal"/>
        <w:spacing w:lineRule="auto" w:line="276" w:before="0" w:after="0"/>
        <w:rPr/>
      </w:pPr>
      <w:r>
        <w:rPr>
          <w:rFonts w:eastAsia="Arial Unicode MS"/>
          <w:b/>
          <w:sz w:val="24"/>
          <w:lang w:val="el-GR"/>
        </w:rPr>
        <w:t>στ) η οποία είναι υπό αίρεση</w:t>
      </w:r>
      <w:r>
        <w:rPr>
          <w:rFonts w:eastAsia="Arial Unicode MS"/>
          <w:sz w:val="24"/>
          <w:lang w:val="el-GR"/>
        </w:rPr>
        <w:t>,</w:t>
      </w:r>
    </w:p>
    <w:p>
      <w:pPr>
        <w:pStyle w:val="Normal"/>
        <w:spacing w:lineRule="auto" w:line="276" w:before="0" w:after="0"/>
        <w:rPr/>
      </w:pPr>
      <w:r>
        <w:rPr>
          <w:rFonts w:eastAsia="Arial Unicode MS"/>
          <w:b/>
          <w:sz w:val="24"/>
          <w:lang w:val="el-GR"/>
        </w:rPr>
        <w:t xml:space="preserve">ζ) </w:t>
      </w:r>
      <w:r>
        <w:rPr>
          <w:rFonts w:eastAsia="Arial Unicode MS"/>
          <w:b/>
          <w:i/>
          <w:iCs/>
          <w:color w:val="5B9BD5"/>
          <w:sz w:val="24"/>
          <w:lang w:val="el-GR"/>
        </w:rPr>
        <w:t xml:space="preserve"> </w:t>
      </w:r>
      <w:r>
        <w:rPr>
          <w:rFonts w:eastAsia="Arial Unicode MS"/>
          <w:b/>
          <w:sz w:val="24"/>
          <w:lang w:val="el-GR"/>
        </w:rPr>
        <w:t xml:space="preserve">η οποία θέτει όρο αναπροσαρμογής με διαφορετικό τρόπο </w:t>
      </w:r>
      <w:r>
        <w:rPr>
          <w:rFonts w:eastAsia="Arial Unicode MS"/>
          <w:sz w:val="24"/>
          <w:lang w:val="el-GR"/>
        </w:rPr>
        <w:t>από αυτόν που ορίζεται στην παρούσα διακήρυξη,</w:t>
      </w:r>
    </w:p>
    <w:p>
      <w:pPr>
        <w:pStyle w:val="Normal"/>
        <w:spacing w:lineRule="auto" w:line="276" w:before="0" w:after="0"/>
        <w:rPr/>
      </w:pPr>
      <w:r>
        <w:rPr>
          <w:rFonts w:eastAsia="Arial Unicode MS"/>
          <w:b/>
          <w:sz w:val="24"/>
          <w:lang w:val="el-GR"/>
        </w:rPr>
        <w:t>η) για την οποία ο προσφέρων δεν παράσχει, εντός αποκλειστικής προθεσμίας είκοσι (20) ημερών</w:t>
      </w:r>
      <w:r>
        <w:rPr>
          <w:rFonts w:eastAsia="Arial Unicode MS"/>
          <w:sz w:val="24"/>
          <w:lang w:val="el-GR"/>
        </w:rPr>
        <w:t xml:space="preserve"> από την κοινοποίηση σε αυτόν σχετικής πρόσκλησης της αναθέτουσας αρχής, </w:t>
      </w:r>
      <w:r>
        <w:rPr>
          <w:rFonts w:eastAsia="Arial Unicode MS"/>
          <w:b/>
          <w:sz w:val="24"/>
          <w:lang w:val="el-GR"/>
        </w:rPr>
        <w:t>εξηγήσεις αναφορικά με την τιμή ή το κόστος που προτείνει  σε αυτήν, στην περίπτωση που η προσφορά του φαίνεται ασυνήθιστα χαμηλή</w:t>
      </w:r>
      <w:r>
        <w:rPr>
          <w:rFonts w:eastAsia="Arial Unicode MS"/>
          <w:sz w:val="24"/>
          <w:lang w:val="el-GR"/>
        </w:rPr>
        <w:t xml:space="preserve"> σε σχέση με τα αγαθά, σύμφωνα με την παρ. 1 του άρθρου 88 του ν.4412/2016,</w:t>
      </w:r>
    </w:p>
    <w:p>
      <w:pPr>
        <w:pStyle w:val="Normal"/>
        <w:spacing w:lineRule="auto" w:line="276" w:before="0" w:after="0"/>
        <w:rPr/>
      </w:pPr>
      <w:r>
        <w:rPr>
          <w:rFonts w:eastAsia="Arial Unicode MS"/>
          <w:b/>
          <w:sz w:val="24"/>
          <w:lang w:val="el-GR"/>
        </w:rPr>
        <w:t>θ) εφόσον διαπιστωθεί ότι είναι ασυνήθιστα χαμηλή</w:t>
      </w:r>
      <w:r>
        <w:rPr>
          <w:rFonts w:eastAsia="Arial Unicode MS"/>
          <w:sz w:val="24"/>
          <w:lang w:val="el-GR"/>
        </w:rPr>
        <w:t xml:space="preserve"> διότι δε συμμορφώνεται με τις ισχύουσες  υποχρεώσεις της παρ. 2 του άρθρου 18 του ν.4412/2016,</w:t>
      </w:r>
    </w:p>
    <w:p>
      <w:pPr>
        <w:pStyle w:val="Normal"/>
        <w:spacing w:lineRule="auto" w:line="276" w:before="0" w:after="0"/>
        <w:rPr/>
      </w:pPr>
      <w:r>
        <w:rPr>
          <w:rFonts w:eastAsia="Arial Unicode MS"/>
          <w:b/>
          <w:sz w:val="24"/>
          <w:lang w:val="el-GR"/>
        </w:rPr>
        <w:t>ι) η οποία παρουσιάζει αποκλίσεις ως προς τους όρους και τις τεχνικές προδιαγραφές της σύμβασης</w:t>
      </w:r>
      <w:r>
        <w:rPr>
          <w:rFonts w:eastAsia="Arial Unicode MS"/>
          <w:sz w:val="24"/>
          <w:lang w:val="el-GR"/>
        </w:rPr>
        <w:t>,</w:t>
      </w:r>
    </w:p>
    <w:p>
      <w:pPr>
        <w:pStyle w:val="Normal"/>
        <w:spacing w:lineRule="auto" w:line="276" w:before="0" w:after="0"/>
        <w:rPr/>
      </w:pPr>
      <w:r>
        <w:rPr>
          <w:rFonts w:eastAsia="Arial Unicode MS"/>
          <w:b/>
          <w:sz w:val="24"/>
          <w:lang w:val="el-GR"/>
        </w:rPr>
        <w:t xml:space="preserve">ια) η οποία παρουσιάζει ελλείψεις ως προς τα δικαιολογητικά που ζητούνται </w:t>
      </w:r>
      <w:r>
        <w:rPr>
          <w:rFonts w:eastAsia="Arial Unicode MS"/>
          <w:sz w:val="24"/>
          <w:lang w:val="el-GR"/>
        </w:rPr>
        <w:t>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pPr>
        <w:pStyle w:val="Normal"/>
        <w:spacing w:lineRule="auto" w:line="276" w:before="0" w:after="0"/>
        <w:rPr/>
      </w:pPr>
      <w:r>
        <w:rPr>
          <w:rFonts w:eastAsia="Arial Unicode MS"/>
          <w:b/>
          <w:sz w:val="24"/>
          <w:lang w:val="el-GR"/>
        </w:rPr>
        <w:t xml:space="preserve">ιβ) εάν από τα δικαιολογητικά του άρθρου 103 του ν. 4412/2016, που προσκομίζονται από τον προσωρινό ανάδοχο, δεν αποδεικνύεται </w:t>
      </w:r>
      <w:r>
        <w:rPr>
          <w:rFonts w:eastAsia="Arial Unicode MS"/>
          <w:b/>
          <w:sz w:val="24"/>
          <w:lang w:val="el-GR" w:eastAsia="el-GR"/>
        </w:rPr>
        <w:t>η μη συνδρομή των λόγων αποκλεισμού</w:t>
      </w:r>
      <w:r>
        <w:rPr>
          <w:rFonts w:eastAsia="Arial Unicode MS"/>
          <w:sz w:val="24"/>
          <w:lang w:val="el-GR" w:eastAsia="el-GR"/>
        </w:rPr>
        <w:t xml:space="preserve">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pPr>
        <w:pStyle w:val="Normal"/>
        <w:spacing w:lineRule="auto" w:line="276"/>
        <w:rPr/>
      </w:pPr>
      <w:r>
        <w:rPr>
          <w:rFonts w:eastAsia="Arial Unicode MS"/>
          <w:b/>
          <w:sz w:val="24"/>
          <w:lang w:val="el-GR" w:eastAsia="el-GR"/>
        </w:rPr>
        <w:t xml:space="preserve">ιγ) εάν κατά τον έλεγχο των ως άνω δικαιολογητικών του άρθρου 103 του ν.4412/2016, διαπιστωθεί </w:t>
      </w:r>
      <w:r>
        <w:rPr>
          <w:rFonts w:eastAsia="Arial Unicode MS"/>
          <w:sz w:val="24"/>
          <w:lang w:val="el-GR" w:eastAsia="el-GR"/>
        </w:rPr>
        <w:t>ότι τα στοιχεία που δηλώθηκαν, σύμφωνα με το άρθρο 79 του ν. 4412/2016, είναι εκ προθέσεως απατηλά, ή ότι έχουν υποβληθεί πλαστά αποδεικτικά στοιχεία</w:t>
      </w:r>
      <w:r>
        <w:rPr>
          <w:rFonts w:eastAsia="Arial Unicode MS"/>
          <w:sz w:val="24"/>
          <w:lang w:val="el-GR"/>
        </w:rPr>
        <w:t>.</w:t>
      </w:r>
    </w:p>
    <w:p>
      <w:pPr>
        <w:pStyle w:val="Normal"/>
        <w:spacing w:lineRule="auto" w:line="276"/>
        <w:rPr>
          <w:rFonts w:eastAsia="Arial Unicode MS" w:cs="Tahoma"/>
          <w:b/>
          <w:b/>
          <w:sz w:val="24"/>
          <w:lang w:val="el-GR"/>
        </w:rPr>
      </w:pPr>
      <w:r>
        <w:rPr>
          <w:rFonts w:eastAsia="Arial Unicode MS" w:cs="Tahoma"/>
          <w:b/>
          <w:sz w:val="24"/>
          <w:lang w:val="el-GR"/>
        </w:rPr>
        <w:t>Η αναθέτουσα αρχή υποχρεούται, αμέσως μετά τη λήξη της προθεσμίας υποβολής των προσφορών,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υποψηφίων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σύμβασης.(παρ.2β του άρθρου 68 του  Ν.3863/10).</w:t>
      </w:r>
    </w:p>
    <w:p>
      <w:pPr>
        <w:pStyle w:val="1"/>
        <w:tabs>
          <w:tab w:val="clear" w:pos="720"/>
          <w:tab w:val="left" w:pos="567" w:leader="none"/>
        </w:tabs>
        <w:spacing w:lineRule="auto" w:line="276" w:before="0" w:after="0"/>
        <w:ind w:left="207" w:right="0" w:hanging="567"/>
        <w:rPr/>
      </w:pPr>
      <w:bookmarkStart w:id="122" w:name="__RefHeading___Toc35611_1890191151"/>
      <w:bookmarkEnd w:id="122"/>
      <w:r>
        <w:rPr>
          <w:rFonts w:eastAsia="Arial Unicode MS" w:cs="Calibri" w:ascii="Calibri" w:hAnsi="Calibri"/>
          <w:sz w:val="24"/>
          <w:szCs w:val="24"/>
          <w:lang w:val="el-GR"/>
        </w:rPr>
        <w:t>3.</w:t>
        <w:tab/>
      </w:r>
      <w:bookmarkStart w:id="123" w:name="_Toc127963073"/>
      <w:r>
        <w:rPr>
          <w:rFonts w:eastAsia="Arial Unicode MS" w:cs="Calibri" w:ascii="Calibri" w:hAnsi="Calibri"/>
          <w:sz w:val="24"/>
          <w:szCs w:val="24"/>
          <w:lang w:val="el-GR"/>
        </w:rPr>
        <w:t>ΔΙΕΝΕΡΓΕΙΑ ΔΙΑΔΙΚΑΣΙΑΣ - ΑΞΙΟΛΟΓΗΣΗ ΠΡΟΣΦΟΡΩΝ</w:t>
      </w:r>
      <w:bookmarkEnd w:id="123"/>
      <w:r>
        <w:rPr>
          <w:rFonts w:eastAsia="Arial Unicode MS" w:cs="Calibri" w:ascii="Calibri" w:hAnsi="Calibri"/>
          <w:sz w:val="24"/>
          <w:szCs w:val="24"/>
          <w:lang w:val="el-GR"/>
        </w:rPr>
        <w:t xml:space="preserve">  </w:t>
      </w:r>
    </w:p>
    <w:p>
      <w:pPr>
        <w:pStyle w:val="2"/>
        <w:spacing w:lineRule="auto" w:line="276" w:before="0" w:after="0"/>
        <w:ind w:left="207" w:right="0" w:hanging="567"/>
        <w:rPr/>
      </w:pPr>
      <w:bookmarkStart w:id="124" w:name="__RefHeading___Toc35613_1890191151"/>
      <w:bookmarkStart w:id="125" w:name="_Toc492539470"/>
      <w:bookmarkStart w:id="126" w:name="_Toc127963074"/>
      <w:bookmarkEnd w:id="124"/>
      <w:r>
        <w:rPr>
          <w:rFonts w:eastAsia="Arial Unicode MS" w:cs="Calibri" w:ascii="Calibri" w:hAnsi="Calibri"/>
          <w:sz w:val="24"/>
          <w:szCs w:val="24"/>
          <w:lang w:val="el-GR"/>
        </w:rPr>
        <w:t>3.1</w:t>
        <w:tab/>
        <w:t>Αποσφράγιση και αξιολόγηση προσφορών</w:t>
      </w:r>
      <w:bookmarkEnd w:id="125"/>
      <w:bookmarkEnd w:id="126"/>
      <w:r>
        <w:rPr>
          <w:rFonts w:eastAsia="Arial Unicode MS" w:cs="Calibri" w:ascii="Calibri" w:hAnsi="Calibri"/>
          <w:sz w:val="24"/>
          <w:szCs w:val="24"/>
          <w:lang w:val="el-GR"/>
        </w:rPr>
        <w:t xml:space="preserve"> </w:t>
      </w:r>
    </w:p>
    <w:p>
      <w:pPr>
        <w:pStyle w:val="3"/>
        <w:spacing w:lineRule="auto" w:line="276" w:before="0" w:after="0"/>
        <w:ind w:left="207" w:right="0" w:hanging="207"/>
        <w:rPr>
          <w:rFonts w:ascii="Calibri" w:hAnsi="Calibri" w:eastAsia="Arial Unicode MS" w:cs="Calibri"/>
          <w:sz w:val="24"/>
          <w:szCs w:val="24"/>
          <w:lang w:val="el-GR"/>
        </w:rPr>
      </w:pPr>
      <w:bookmarkStart w:id="127" w:name="__RefHeading___Toc35615_1890191151"/>
      <w:bookmarkStart w:id="128" w:name="_Toc492539471"/>
      <w:bookmarkStart w:id="129" w:name="_Toc127963075"/>
      <w:bookmarkEnd w:id="127"/>
      <w:r>
        <w:rPr>
          <w:rFonts w:eastAsia="Arial Unicode MS" w:cs="Calibri" w:ascii="Calibri" w:hAnsi="Calibri"/>
          <w:sz w:val="24"/>
          <w:szCs w:val="24"/>
          <w:lang w:val="el-GR"/>
        </w:rPr>
        <w:t>3.1.1</w:t>
        <w:tab/>
        <w:t xml:space="preserve"> Ηλεκτρονική αποσφράγιση προσφορών</w:t>
      </w:r>
      <w:bookmarkEnd w:id="128"/>
      <w:bookmarkEnd w:id="129"/>
    </w:p>
    <w:p>
      <w:pPr>
        <w:pStyle w:val="Normal"/>
        <w:spacing w:lineRule="auto" w:line="276" w:before="0" w:after="0"/>
        <w:rPr/>
      </w:pPr>
      <w:r>
        <w:rPr>
          <w:rFonts w:eastAsia="Arial Unicode MS"/>
          <w:sz w:val="24"/>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Pr>
          <w:rStyle w:val="Style14"/>
          <w:rStyle w:val="Style14"/>
          <w:rFonts w:eastAsia="Arial Unicode MS" w:cs="Calibri"/>
          <w:sz w:val="24"/>
          <w:lang w:val="el-GR"/>
        </w:rPr>
        <w:footnoteReference w:id="61"/>
      </w:r>
      <w:r>
        <w:rPr>
          <w:rFonts w:eastAsia="Arial Unicode MS"/>
          <w:sz w:val="24"/>
          <w:lang w:val="el-GR"/>
        </w:rPr>
        <w:t xml:space="preserve">, </w:t>
      </w:r>
      <w:r>
        <w:rPr>
          <w:rFonts w:eastAsia="Arial Unicode MS"/>
          <w:b/>
          <w:sz w:val="24"/>
          <w:lang w:val="el-GR"/>
        </w:rPr>
        <w:t>εφεξής Επιτροπή Διαγωνισμού</w:t>
      </w:r>
      <w:r>
        <w:rPr>
          <w:rFonts w:eastAsia="Arial Unicode MS"/>
          <w:sz w:val="24"/>
          <w:lang w:val="el-GR"/>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pPr>
        <w:pStyle w:val="Normalwithoutspacing"/>
        <w:widowControl/>
        <w:numPr>
          <w:ilvl w:val="0"/>
          <w:numId w:val="3"/>
        </w:numPr>
        <w:suppressAutoHyphens w:val="true"/>
        <w:bidi w:val="0"/>
        <w:spacing w:lineRule="auto" w:line="276" w:before="0" w:after="0"/>
        <w:ind w:left="0" w:right="0" w:hanging="397"/>
        <w:jc w:val="both"/>
        <w:rPr/>
      </w:pPr>
      <w:r>
        <w:rPr>
          <w:rFonts w:eastAsia="Arial Unicode MS"/>
          <w:b/>
          <w:sz w:val="24"/>
        </w:rPr>
        <w:t>Ηλεκτρονική Αποσφράγιση</w:t>
      </w:r>
      <w:r>
        <w:rPr>
          <w:rFonts w:eastAsia="Arial Unicode MS"/>
          <w:sz w:val="24"/>
        </w:rPr>
        <w:t xml:space="preserve"> του υπό-φακέλου «</w:t>
      </w:r>
      <w:r>
        <w:rPr>
          <w:rFonts w:eastAsia="Arial Unicode MS"/>
          <w:b/>
          <w:sz w:val="24"/>
        </w:rPr>
        <w:t>Δικαιολογητικά Συμμετοχής - Τεχνική Προσφορά</w:t>
      </w:r>
      <w:r>
        <w:rPr>
          <w:rFonts w:eastAsia="Arial Unicode MS"/>
          <w:sz w:val="24"/>
        </w:rPr>
        <w:t xml:space="preserve">» και του υπό-φακέλου </w:t>
      </w:r>
      <w:r>
        <w:rPr>
          <w:rFonts w:eastAsia="Arial Unicode MS"/>
          <w:b/>
          <w:sz w:val="24"/>
        </w:rPr>
        <w:t>«Οικονομική Προσφορά»</w:t>
      </w:r>
      <w:r>
        <w:rPr>
          <w:rFonts w:eastAsia="Arial Unicode MS"/>
          <w:sz w:val="24"/>
        </w:rPr>
        <w:t xml:space="preserve"> την</w:t>
      </w:r>
      <w:r>
        <w:rPr>
          <w:rFonts w:eastAsia="Arial Unicode MS"/>
          <w:color w:val="C9211E"/>
          <w:sz w:val="24"/>
        </w:rPr>
        <w:t xml:space="preserve"> </w:t>
      </w:r>
      <w:r>
        <w:rPr>
          <w:rFonts w:eastAsia="Arial Unicode MS"/>
          <w:b/>
          <w:bCs/>
          <w:color w:val="000000"/>
          <w:sz w:val="24"/>
        </w:rPr>
        <w:t>25/08/2023 ημέρα Παρασκευή και ώρα 15:00 μ.μ.</w:t>
      </w:r>
    </w:p>
    <w:p>
      <w:pPr>
        <w:pStyle w:val="Normalwithoutspacing"/>
        <w:spacing w:lineRule="auto" w:line="276" w:before="0" w:after="0"/>
        <w:rPr/>
      </w:pPr>
      <w:r>
        <w:rPr>
          <w:rFonts w:eastAsia="Arial Unicode MS"/>
          <w:sz w:val="24"/>
        </w:rPr>
        <w:t>Στο στάδιο αυτό τα στοιχεία των προσφορών που αποσφραγίζονται είναι προσβάσιμα μόνο στα μέλη της Επιτροπής Διαγωνισμού και την Αναθέτουσα Αρχή</w:t>
      </w:r>
      <w:r>
        <w:rPr>
          <w:rStyle w:val="Style14"/>
          <w:rStyle w:val="Style14"/>
          <w:rFonts w:eastAsia="Arial Unicode MS" w:cs="Calibri"/>
          <w:sz w:val="24"/>
        </w:rPr>
        <w:footnoteReference w:id="62"/>
      </w:r>
      <w:r>
        <w:rPr>
          <w:rFonts w:eastAsia="Arial Unicode MS"/>
          <w:sz w:val="24"/>
        </w:rPr>
        <w:t>.</w:t>
      </w:r>
    </w:p>
    <w:p>
      <w:pPr>
        <w:pStyle w:val="Normal"/>
        <w:spacing w:lineRule="auto" w:line="276" w:before="0" w:after="0"/>
        <w:rPr>
          <w:rFonts w:eastAsia="Arial Unicode MS"/>
          <w:sz w:val="24"/>
          <w:lang w:val="el-GR"/>
        </w:rPr>
      </w:pPr>
      <w:r>
        <w:rPr>
          <w:rFonts w:eastAsia="Arial Unicode MS"/>
          <w:sz w:val="24"/>
          <w:lang w:val="el-GR"/>
        </w:rPr>
      </w:r>
    </w:p>
    <w:p>
      <w:pPr>
        <w:pStyle w:val="3"/>
        <w:spacing w:lineRule="auto" w:line="276" w:before="0" w:after="120"/>
        <w:ind w:left="207" w:right="0" w:hanging="207"/>
        <w:rPr>
          <w:rFonts w:ascii="Calibri" w:hAnsi="Calibri" w:eastAsia="Arial Unicode MS" w:cs="Calibri"/>
          <w:sz w:val="24"/>
          <w:szCs w:val="24"/>
          <w:lang w:val="el-GR"/>
        </w:rPr>
      </w:pPr>
      <w:bookmarkStart w:id="130" w:name="__RefHeading___Toc35617_1890191151"/>
      <w:bookmarkStart w:id="131" w:name="_Toc95375540"/>
      <w:bookmarkStart w:id="132" w:name="_Toc127963076"/>
      <w:bookmarkStart w:id="133" w:name="_Toc492539472"/>
      <w:bookmarkStart w:id="134" w:name="_Toc92878980"/>
      <w:bookmarkEnd w:id="130"/>
      <w:r>
        <w:rPr>
          <w:rFonts w:eastAsia="Arial Unicode MS" w:cs="Calibri" w:ascii="Calibri" w:hAnsi="Calibri"/>
          <w:sz w:val="24"/>
          <w:szCs w:val="24"/>
          <w:lang w:val="el-GR"/>
        </w:rPr>
        <w:t>3.1.2</w:t>
        <w:tab/>
        <w:t xml:space="preserve"> Αξιολόγηση προσφορών</w:t>
      </w:r>
      <w:bookmarkEnd w:id="131"/>
      <w:bookmarkEnd w:id="132"/>
      <w:bookmarkEnd w:id="133"/>
      <w:bookmarkEnd w:id="134"/>
    </w:p>
    <w:p>
      <w:pPr>
        <w:pStyle w:val="Normal"/>
        <w:spacing w:lineRule="auto" w:line="276"/>
        <w:rPr/>
      </w:pPr>
      <w:r>
        <w:rPr>
          <w:rFonts w:eastAsia="Arial Unicode MS"/>
          <w:b/>
          <w:sz w:val="24"/>
          <w:lang w:val="el-GR"/>
        </w:rPr>
        <w:t>3.1.2.1</w:t>
      </w:r>
      <w:r>
        <w:rPr>
          <w:rFonts w:eastAsia="Arial Unicode MS"/>
          <w:sz w:val="24"/>
          <w:lang w:val="el-GR"/>
        </w:rPr>
        <w:t xml:space="preserve"> Μετά την κατά περίπτωση ηλεκτρονική αποσφράγιση των προσφορών η Αναθέτουσα Αρχή προβαίνει στην </w:t>
      </w:r>
      <w:r>
        <w:rPr>
          <w:rFonts w:eastAsia="Arial Unicode MS"/>
          <w:b/>
          <w:sz w:val="24"/>
          <w:lang w:val="el-GR"/>
        </w:rPr>
        <w:t xml:space="preserve">αξιολόγηση </w:t>
      </w:r>
      <w:r>
        <w:rPr>
          <w:rFonts w:eastAsia="Arial Unicode MS"/>
          <w:sz w:val="24"/>
          <w:lang w:val="el-GR"/>
        </w:rPr>
        <w:t xml:space="preserve">αυτών, μέσω των αρμόδιων πιστοποιημένων στο ΕΣΗΔΗΣ οργάνων της, εφαρμοζόμενων κατά τα λοιπά των κειμένων διατάξεων. </w:t>
      </w:r>
    </w:p>
    <w:p>
      <w:pPr>
        <w:pStyle w:val="Normal"/>
        <w:spacing w:lineRule="auto" w:line="276"/>
        <w:textAlignment w:val="baseline"/>
        <w:rPr/>
      </w:pPr>
      <w:r>
        <w:rPr>
          <w:rFonts w:eastAsia="Arial Unicode MS"/>
          <w:kern w:val="2"/>
          <w:sz w:val="24"/>
          <w:lang w:val="el-GR" w:eastAsia="ar-SA"/>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w:t>
      </w:r>
      <w:r>
        <w:rPr>
          <w:rFonts w:eastAsia="Arial Unicode MS"/>
          <w:b/>
          <w:kern w:val="2"/>
          <w:sz w:val="24"/>
          <w:u w:val="single"/>
          <w:lang w:val="el-GR" w:eastAsia="ar-SA"/>
        </w:rPr>
        <w:t>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rFonts w:eastAsia="Arial Unicode MS"/>
          <w:kern w:val="2"/>
          <w:sz w:val="24"/>
          <w:lang w:val="el-GR" w:eastAsia="ar-SA"/>
        </w:rPr>
        <w:t>.</w:t>
      </w:r>
      <w:r>
        <w:rPr>
          <w:rFonts w:eastAsia="Arial Unicode MS"/>
          <w:sz w:val="24"/>
          <w:lang w:val="el-GR" w:eastAsia="ar-SA"/>
        </w:rPr>
        <w:t xml:space="preserve"> Η συμπλήρωση ή η αποσαφήνιση ζητείται και γίνεται αποδεκτή υπό την προϋπόθεση ότι δεν </w:t>
      </w:r>
      <w:r>
        <w:rPr>
          <w:rFonts w:eastAsia="Arial Unicode MS"/>
          <w:kern w:val="2"/>
          <w:sz w:val="24"/>
          <w:lang w:val="el-GR" w:eastAsia="ar-SA"/>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Style14"/>
          <w:rStyle w:val="Style14"/>
          <w:rFonts w:eastAsia="Arial Unicode MS" w:cs="Calibri"/>
          <w:kern w:val="2"/>
          <w:sz w:val="24"/>
          <w:lang w:val="el-GR" w:eastAsia="ar-SA"/>
        </w:rPr>
        <w:footnoteReference w:id="63"/>
      </w:r>
      <w:r>
        <w:rPr>
          <w:rFonts w:eastAsia="Arial Unicode MS"/>
          <w:kern w:val="2"/>
          <w:sz w:val="24"/>
          <w:lang w:val="el-GR" w:eastAsia="ar-SA"/>
        </w:rPr>
        <w:t>.</w:t>
      </w:r>
    </w:p>
    <w:p>
      <w:pPr>
        <w:pStyle w:val="Normal"/>
        <w:spacing w:lineRule="auto" w:line="276"/>
        <w:textAlignment w:val="baseline"/>
        <w:rPr>
          <w:rFonts w:eastAsia="Arial Unicode MS"/>
          <w:sz w:val="24"/>
          <w:lang w:val="el-GR"/>
        </w:rPr>
      </w:pPr>
      <w:r>
        <w:rPr>
          <w:rFonts w:eastAsia="Arial Unicode MS"/>
          <w:sz w:val="24"/>
          <w:lang w:val="el-GR"/>
        </w:rPr>
        <w:t>Ειδικότερα :</w:t>
      </w:r>
    </w:p>
    <w:p>
      <w:pPr>
        <w:pStyle w:val="Normal"/>
        <w:suppressAutoHyphens w:val="false"/>
        <w:spacing w:lineRule="auto" w:line="276" w:before="0" w:after="0"/>
        <w:rPr/>
      </w:pPr>
      <w:r>
        <w:rPr>
          <w:b/>
          <w:kern w:val="2"/>
          <w:sz w:val="24"/>
          <w:lang w:val="el-GR"/>
        </w:rPr>
        <w:t>α)</w:t>
      </w:r>
      <w:r>
        <w:rPr>
          <w:kern w:val="2"/>
          <w:sz w:val="24"/>
          <w:lang w:val="el-GR"/>
        </w:rPr>
        <w:t xml:space="preserve"> Η Επιτροπή Διαγωνισμού </w:t>
      </w:r>
      <w:r>
        <w:rPr>
          <w:b/>
          <w:kern w:val="2"/>
          <w:sz w:val="24"/>
          <w:lang w:val="el-GR"/>
        </w:rPr>
        <w:t>εξετάζει αρχικά την προσκόμιση της εγγύησης συμμετοχής</w:t>
      </w:r>
      <w:r>
        <w:rPr>
          <w:kern w:val="2"/>
          <w:sz w:val="24"/>
          <w:lang w:val="el-GR"/>
        </w:rPr>
        <w:t xml:space="preserve">, σύμφωνα με την παράγραφο 1 του άρθρου 72. </w:t>
      </w:r>
    </w:p>
    <w:p>
      <w:pPr>
        <w:pStyle w:val="Normal"/>
        <w:suppressAutoHyphens w:val="false"/>
        <w:spacing w:lineRule="auto" w:line="276" w:before="0" w:after="0"/>
        <w:rPr/>
      </w:pPr>
      <w:r>
        <w:rPr>
          <w:b/>
          <w:kern w:val="2"/>
          <w:sz w:val="24"/>
          <w:lang w:val="el-GR"/>
        </w:rPr>
        <w:t>Σε περίπτωση παράλειψης προσκόμισης</w:t>
      </w:r>
      <w:r>
        <w:rPr>
          <w:kern w:val="2"/>
          <w:sz w:val="24"/>
          <w:lang w:val="el-GR"/>
        </w:rPr>
        <w:t xml:space="preserve">,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Pr>
          <w:b/>
          <w:kern w:val="2"/>
          <w:sz w:val="24"/>
          <w:lang w:val="el-GR"/>
        </w:rPr>
        <w:t>η Επιτροπή Διαγωνισμού συντάσσει πρακτικό στο οποίο εισηγείται την απόρριψη της προσφοράς ως απαράδεκτης</w:t>
      </w:r>
      <w:r>
        <w:rPr>
          <w:kern w:val="2"/>
          <w:sz w:val="24"/>
          <w:lang w:val="el-GR"/>
        </w:rPr>
        <w:t xml:space="preserve">.  </w:t>
      </w:r>
    </w:p>
    <w:p>
      <w:pPr>
        <w:pStyle w:val="Normal"/>
        <w:spacing w:lineRule="auto" w:line="276"/>
        <w:textAlignment w:val="baseline"/>
        <w:rPr/>
      </w:pPr>
      <w:r>
        <w:rPr>
          <w:b/>
          <w:kern w:val="2"/>
          <w:sz w:val="24"/>
          <w:lang w:val="el-GR"/>
        </w:rPr>
        <w:t>Στη συνέχεια εκδίδεται από την αναθέτουσα αρχή απόφαση, με την οποία επικυρώνεται το ανωτέρω πρακτικό</w:t>
      </w:r>
      <w:r>
        <w:rPr>
          <w:kern w:val="2"/>
          <w:sz w:val="24"/>
          <w:lang w:val="el-GR"/>
        </w:rPr>
        <w:t>.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pPr>
        <w:pStyle w:val="Normal"/>
        <w:suppressAutoHyphens w:val="false"/>
        <w:spacing w:lineRule="auto" w:line="276" w:before="0" w:after="0"/>
        <w:rPr/>
      </w:pPr>
      <w:r>
        <w:rPr>
          <w:b/>
          <w:kern w:val="2"/>
          <w:sz w:val="24"/>
          <w:lang w:val="el-GR"/>
        </w:rPr>
        <w:t>Κατά της εν λόγω απόφασης χωρεί προδικαστική προσφυγή</w:t>
      </w:r>
      <w:r>
        <w:rPr>
          <w:kern w:val="2"/>
          <w:sz w:val="24"/>
          <w:lang w:val="el-GR"/>
        </w:rPr>
        <w:t>, σύμφωνα με τα οριζόμενα στην παράγραφο 3.4 της παρούσας.</w:t>
      </w:r>
    </w:p>
    <w:p>
      <w:pPr>
        <w:pStyle w:val="Normal"/>
        <w:suppressAutoHyphens w:val="false"/>
        <w:spacing w:lineRule="auto" w:line="276" w:before="0" w:after="0"/>
        <w:rPr/>
      </w:pPr>
      <w:r>
        <w:rPr>
          <w:kern w:val="2"/>
          <w:sz w:val="24"/>
          <w:lang w:val="el-GR"/>
        </w:rPr>
        <w:t>Η αναθέτουσα αρχή επικοινωνεί παράλληλα με τους φορείς που φέρονται να έχουν εκδώσει τις εγγυητικές επιστολές, προκειμένου να διαπιστώσει</w:t>
      </w:r>
      <w:r>
        <w:rPr>
          <w:b/>
          <w:kern w:val="2"/>
          <w:sz w:val="24"/>
          <w:lang w:val="el-GR"/>
        </w:rPr>
        <w:t xml:space="preserve"> την εγκυρότητά τους</w:t>
      </w:r>
      <w:r>
        <w:rPr>
          <w:rStyle w:val="Style14"/>
          <w:rStyle w:val="Style14"/>
          <w:rFonts w:cs="Calibri"/>
          <w:b/>
          <w:kern w:val="2"/>
          <w:sz w:val="24"/>
          <w:lang w:val="el-GR"/>
        </w:rPr>
        <w:footnoteReference w:id="64"/>
      </w:r>
      <w:r>
        <w:rPr>
          <w:b/>
          <w:kern w:val="2"/>
          <w:sz w:val="24"/>
          <w:lang w:val="el-GR"/>
        </w:rPr>
        <w:t>.</w:t>
      </w:r>
    </w:p>
    <w:p>
      <w:pPr>
        <w:pStyle w:val="Normal"/>
        <w:suppressAutoHyphens w:val="false"/>
        <w:spacing w:lineRule="auto" w:line="276" w:before="0" w:after="0"/>
        <w:rPr>
          <w:b/>
          <w:b/>
          <w:kern w:val="2"/>
          <w:sz w:val="24"/>
          <w:lang w:val="el-GR"/>
        </w:rPr>
      </w:pPr>
      <w:r>
        <w:rPr>
          <w:b/>
          <w:kern w:val="2"/>
          <w:sz w:val="24"/>
          <w:lang w:val="el-GR"/>
        </w:rPr>
      </w:r>
    </w:p>
    <w:p>
      <w:pPr>
        <w:pStyle w:val="Normal"/>
        <w:suppressAutoHyphens w:val="false"/>
        <w:spacing w:lineRule="auto" w:line="276" w:before="0" w:after="0"/>
        <w:rPr/>
      </w:pPr>
      <w:r>
        <w:rPr>
          <w:b/>
          <w:kern w:val="2"/>
          <w:sz w:val="24"/>
          <w:lang w:val="el-GR"/>
        </w:rPr>
        <w:t>β)</w:t>
      </w:r>
      <w:r>
        <w:rPr>
          <w:kern w:val="2"/>
          <w:sz w:val="24"/>
          <w:lang w:val="el-GR"/>
        </w:rPr>
        <w:t xml:space="preserve"> Μετά την έκδοση της ανωτέρω απόφασης η Επιτροπή Διαγωνισμού προβαίνει αρχικά στον </w:t>
      </w:r>
      <w:r>
        <w:rPr>
          <w:b/>
          <w:kern w:val="2"/>
          <w:sz w:val="24"/>
          <w:lang w:val="el-GR"/>
        </w:rPr>
        <w:t>έλεγχο των δικαιολογητικών συμμετοχής</w:t>
      </w:r>
      <w:r>
        <w:rPr>
          <w:kern w:val="2"/>
          <w:sz w:val="24"/>
          <w:lang w:val="el-GR"/>
        </w:rPr>
        <w:t xml:space="preserve"> και εν συνεχεία στην </w:t>
      </w:r>
      <w:r>
        <w:rPr>
          <w:b/>
          <w:kern w:val="2"/>
          <w:sz w:val="24"/>
          <w:lang w:val="el-GR"/>
        </w:rPr>
        <w:t>αξιολόγηση των τεχνικών προσφορών</w:t>
      </w:r>
      <w:r>
        <w:rPr>
          <w:kern w:val="2"/>
          <w:sz w:val="24"/>
          <w:lang w:val="el-GR"/>
        </w:rPr>
        <w:t xml:space="preserve"> των προσφερόντων  των οποίων τα δικαιολογητικά συμμετοχής έκρινε </w:t>
      </w:r>
      <w:r>
        <w:rPr>
          <w:kern w:val="2"/>
          <w:sz w:val="24"/>
          <w:u w:val="single"/>
          <w:lang w:val="el-GR"/>
        </w:rPr>
        <w:t>πλήρη</w:t>
      </w:r>
      <w:r>
        <w:rPr>
          <w:kern w:val="2"/>
          <w:sz w:val="24"/>
          <w:lang w:val="el-GR"/>
        </w:rPr>
        <w:t>.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pPr>
        <w:pStyle w:val="Normal"/>
        <w:suppressAutoHyphens w:val="false"/>
        <w:spacing w:lineRule="auto" w:line="276" w:before="0" w:after="0"/>
        <w:rPr>
          <w:kern w:val="2"/>
          <w:sz w:val="24"/>
          <w:lang w:val="el-GR"/>
        </w:rPr>
      </w:pPr>
      <w:r>
        <w:rPr>
          <w:kern w:val="2"/>
          <w:sz w:val="24"/>
          <w:lang w:val="el-GR"/>
        </w:rPr>
      </w:r>
    </w:p>
    <w:p>
      <w:pPr>
        <w:pStyle w:val="Normal"/>
        <w:spacing w:lineRule="auto" w:line="276"/>
        <w:textAlignment w:val="baseline"/>
        <w:rPr/>
      </w:pPr>
      <w:r>
        <w:rPr>
          <w:b/>
          <w:kern w:val="2"/>
          <w:sz w:val="24"/>
          <w:lang w:val="el-GR"/>
        </w:rPr>
        <w:t>γ)</w:t>
      </w:r>
      <w:r>
        <w:rPr>
          <w:kern w:val="2"/>
          <w:sz w:val="24"/>
          <w:lang w:val="el-GR"/>
        </w:rPr>
        <w:t xml:space="preserve"> </w:t>
      </w:r>
      <w:r>
        <w:rPr>
          <w:b/>
          <w:kern w:val="2"/>
          <w:sz w:val="24"/>
          <w:lang w:val="el-GR"/>
        </w:rPr>
        <w:t>Στη συνέχεια η Επιτροπή Διαγωνισμού προβαίνει στην</w:t>
      </w:r>
      <w:r>
        <w:rPr>
          <w:kern w:val="2"/>
          <w:sz w:val="24"/>
          <w:lang w:val="el-GR"/>
        </w:rPr>
        <w:t xml:space="preserve"> </w:t>
      </w:r>
      <w:r>
        <w:rPr>
          <w:b/>
          <w:kern w:val="2"/>
          <w:sz w:val="24"/>
          <w:lang w:val="el-GR"/>
        </w:rPr>
        <w:t>αξιολόγηση των οικονομικών προσφορών</w:t>
      </w:r>
      <w:r>
        <w:rPr>
          <w:kern w:val="2"/>
          <w:sz w:val="24"/>
          <w:lang w:val="el-GR"/>
        </w:rPr>
        <w:t xml:space="preserve"> των προσφερόντων, </w:t>
      </w:r>
      <w:r>
        <w:rPr>
          <w:kern w:val="2"/>
          <w:sz w:val="24"/>
          <w:u w:val="single"/>
          <w:lang w:val="el-GR"/>
        </w:rPr>
        <w:t>των οποίων τα δικαιολογητικά συμμετοχής και η τεχνική προσφορά κρίθηκαν αποδεκτά</w:t>
      </w:r>
      <w:r>
        <w:rPr>
          <w:kern w:val="2"/>
          <w:sz w:val="24"/>
          <w:lang w:val="el-GR"/>
        </w:rPr>
        <w:t xml:space="preserve">,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pPr>
        <w:pStyle w:val="Normal"/>
        <w:spacing w:lineRule="auto" w:line="276"/>
        <w:textAlignment w:val="baseline"/>
        <w:rPr/>
      </w:pPr>
      <w:r>
        <w:rPr>
          <w:kern w:val="2"/>
          <w:sz w:val="24"/>
          <w:lang w:val="el-GR"/>
        </w:rPr>
        <w:t xml:space="preserve">Εάν οι προσφορές φαίνονται </w:t>
      </w:r>
      <w:r>
        <w:rPr>
          <w:kern w:val="2"/>
          <w:sz w:val="24"/>
          <w:u w:val="single"/>
          <w:lang w:val="el-GR"/>
        </w:rPr>
        <w:t>ασυνήθιστα χαμηλές</w:t>
      </w:r>
      <w:r>
        <w:rPr>
          <w:kern w:val="2"/>
          <w:sz w:val="24"/>
          <w:lang w:val="el-GR"/>
        </w:rPr>
        <w:t xml:space="preserve"> σε σχέση με το αντικείμενο της σύμβασης, η αναθέτουσα αρχή απαιτεί από τους οικονομικούς φορείς,</w:t>
      </w:r>
      <w:r>
        <w:rPr>
          <w:sz w:val="24"/>
          <w:lang w:val="el-GR"/>
        </w:rPr>
        <w:t xml:space="preserve"> </w:t>
      </w:r>
      <w:r>
        <w:rPr>
          <w:kern w:val="2"/>
          <w:sz w:val="24"/>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αναθέτουσα αρχή ενσωματώνει τις σχετικές εξηγήσεις σχετικά με τις ασυνήθιστα χαμηλές προσφορές και την αποδοχή ή όχι των σχετικών εξηγήσεων εκ μέρους των προσφερόντων στην κατωτέρω ενιαία απόφαση.</w:t>
      </w:r>
      <w:r>
        <w:rPr>
          <w:rStyle w:val="Style14"/>
          <w:rStyle w:val="Style14"/>
          <w:rFonts w:cs="Calibri"/>
          <w:iCs/>
          <w:kern w:val="2"/>
          <w:sz w:val="24"/>
          <w:lang w:val="el-GR" w:eastAsia="el-GR"/>
        </w:rPr>
        <w:footnoteReference w:id="65"/>
      </w:r>
    </w:p>
    <w:p>
      <w:pPr>
        <w:pStyle w:val="Normal"/>
        <w:spacing w:lineRule="auto" w:line="276"/>
        <w:textAlignment w:val="baseline"/>
        <w:rPr/>
      </w:pPr>
      <w:r>
        <w:rPr>
          <w:kern w:val="2"/>
          <w:sz w:val="24"/>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Style14"/>
          <w:rStyle w:val="Style14"/>
          <w:rFonts w:cs="Calibri"/>
          <w:kern w:val="2"/>
          <w:sz w:val="24"/>
          <w:lang w:val="el-GR" w:eastAsia="el-GR"/>
        </w:rPr>
        <w:footnoteReference w:id="66"/>
      </w:r>
      <w:r>
        <w:rPr>
          <w:kern w:val="2"/>
          <w:sz w:val="24"/>
          <w:lang w:val="el-GR" w:eastAsia="el-GR"/>
        </w:rPr>
        <w:t>.  Επισημαίνεται ότι τα αποτελέσματα της κλήρωσης ενσωματώνονται ομοίως στην κατωτέρω ενιαία απόφαση.</w:t>
      </w:r>
    </w:p>
    <w:p>
      <w:pPr>
        <w:pStyle w:val="Normal"/>
        <w:spacing w:lineRule="auto" w:line="276"/>
        <w:textAlignment w:val="baseline"/>
        <w:rPr/>
      </w:pPr>
      <w:r>
        <w:rPr>
          <w:b/>
          <w:kern w:val="2"/>
          <w:sz w:val="24"/>
          <w:lang w:val="el-GR"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w:t>
      </w:r>
      <w:r>
        <w:rPr>
          <w:b/>
          <w:kern w:val="2"/>
          <w:sz w:val="24"/>
          <w:u w:val="single"/>
          <w:lang w:val="el-GR" w:eastAsia="el-GR"/>
        </w:rPr>
        <w:t>όλων των ανωτέρω σταδίων</w:t>
      </w:r>
      <w:r>
        <w:rPr>
          <w:rStyle w:val="Style14"/>
          <w:rStyle w:val="Style14"/>
          <w:rFonts w:cs="Calibri"/>
          <w:i/>
          <w:iCs/>
          <w:kern w:val="2"/>
          <w:sz w:val="24"/>
          <w:lang w:val="el-GR" w:eastAsia="el-GR"/>
        </w:rPr>
        <w:footnoteReference w:id="67"/>
      </w:r>
      <w:r>
        <w:rPr>
          <w:kern w:val="2"/>
          <w:sz w:val="24"/>
          <w:lang w:val="el-GR" w:eastAsia="el-GR"/>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w:t>
      </w:r>
    </w:p>
    <w:p>
      <w:pPr>
        <w:pStyle w:val="Normal"/>
        <w:pBdr>
          <w:top w:val="single" w:sz="4" w:space="1" w:color="000000"/>
          <w:left w:val="single" w:sz="4" w:space="0" w:color="000000"/>
          <w:bottom w:val="single" w:sz="4" w:space="1" w:color="000000"/>
          <w:right w:val="single" w:sz="4" w:space="4" w:color="000000"/>
        </w:pBdr>
        <w:shd w:val="clear" w:color="auto" w:fill="D9D9D9"/>
        <w:spacing w:lineRule="auto" w:line="276" w:before="0" w:after="240"/>
        <w:textAlignment w:val="baseline"/>
        <w:rPr/>
      </w:pPr>
      <w:r>
        <w:rPr>
          <w:b/>
          <w:kern w:val="2"/>
          <w:sz w:val="24"/>
          <w:lang w:val="el-GR" w:eastAsia="el-GR"/>
        </w:rPr>
        <w:t>Η απόφαση έγκρισης των πρακτικών δεν κοινοποιείται στους προσφέροντες και ενσωματώνεται στην απόφαση κατακύρωσης</w:t>
      </w:r>
      <w:r>
        <w:rPr>
          <w:kern w:val="2"/>
          <w:sz w:val="24"/>
          <w:lang w:val="el-GR" w:eastAsia="el-GR"/>
        </w:rPr>
        <w:t>.</w:t>
      </w:r>
    </w:p>
    <w:p>
      <w:pPr>
        <w:pStyle w:val="Normal"/>
        <w:spacing w:lineRule="auto" w:line="276" w:before="0" w:after="0"/>
        <w:rPr/>
      </w:pPr>
      <w:r>
        <w:rPr>
          <w:kern w:val="2"/>
          <w:sz w:val="24"/>
          <w:lang w:val="el-GR" w:eastAsia="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w:t>
      </w:r>
      <w:r>
        <w:rPr>
          <w:sz w:val="24"/>
          <w:lang w:val="el-GR"/>
        </w:rPr>
        <w:t xml:space="preserve">Ε.Α.ΔΗ.ΣΥ. </w:t>
      </w:r>
      <w:r>
        <w:rPr>
          <w:kern w:val="2"/>
          <w:sz w:val="24"/>
          <w:lang w:val="el-GR" w:eastAsia="el-GR"/>
        </w:rPr>
        <w:t>σύμφωνα με όσα προβλέπονται στην παράγραφο 3.4 της παρούσας</w:t>
      </w:r>
      <w:r>
        <w:rPr>
          <w:rStyle w:val="Style14"/>
          <w:rStyle w:val="Style14"/>
          <w:rFonts w:cs="Calibri"/>
          <w:kern w:val="2"/>
          <w:sz w:val="24"/>
          <w:lang w:val="el-GR" w:eastAsia="el-GR"/>
        </w:rPr>
        <w:footnoteReference w:id="68"/>
      </w:r>
      <w:r>
        <w:rPr>
          <w:rFonts w:eastAsia="Arial Unicode MS"/>
          <w:b/>
          <w:sz w:val="24"/>
          <w:lang w:val="el-GR"/>
        </w:rPr>
        <w:t>.</w:t>
      </w:r>
    </w:p>
    <w:p>
      <w:pPr>
        <w:pStyle w:val="Normal"/>
        <w:spacing w:lineRule="auto" w:line="276" w:before="0" w:after="0"/>
        <w:rPr>
          <w:rFonts w:eastAsia="Arial Unicode MS"/>
          <w:b/>
          <w:b/>
          <w:sz w:val="24"/>
          <w:lang w:val="el-GR"/>
        </w:rPr>
      </w:pPr>
      <w:r>
        <w:rPr>
          <w:rFonts w:eastAsia="Arial Unicode MS"/>
          <w:b/>
          <w:sz w:val="24"/>
          <w:lang w:val="el-GR"/>
        </w:rPr>
      </w:r>
    </w:p>
    <w:p>
      <w:pPr>
        <w:pStyle w:val="2"/>
        <w:spacing w:lineRule="auto" w:line="276" w:before="0" w:after="0"/>
        <w:ind w:left="207" w:right="0" w:hanging="567"/>
        <w:rPr/>
      </w:pPr>
      <w:bookmarkStart w:id="135" w:name="__RefHeading___Toc35619_1890191151"/>
      <w:bookmarkStart w:id="136" w:name="_Toc127963077"/>
      <w:bookmarkStart w:id="137" w:name="_Toc492539473"/>
      <w:bookmarkEnd w:id="135"/>
      <w:r>
        <w:rPr>
          <w:rFonts w:eastAsia="Arial Unicode MS" w:cs="Calibri" w:ascii="Calibri" w:hAnsi="Calibri"/>
          <w:sz w:val="24"/>
          <w:szCs w:val="24"/>
          <w:lang w:val="el-GR"/>
        </w:rPr>
        <w:t>3.2</w:t>
        <w:tab/>
        <w:t xml:space="preserve">Πρόσκληση υποβολής δικαιολογητικών προσωρινού αναδόχου - Δικαιολογητικά </w:t>
      </w:r>
      <w:bookmarkEnd w:id="137"/>
      <w:r>
        <w:rPr>
          <w:rFonts w:eastAsia="Arial Unicode MS" w:cs="Calibri" w:ascii="Calibri" w:hAnsi="Calibri"/>
          <w:sz w:val="24"/>
          <w:szCs w:val="24"/>
          <w:lang w:val="el-GR"/>
        </w:rPr>
        <w:t>προσωρινού αναδόχου</w:t>
      </w:r>
      <w:bookmarkEnd w:id="136"/>
    </w:p>
    <w:p>
      <w:pPr>
        <w:pStyle w:val="Normal"/>
        <w:suppressAutoHyphens w:val="false"/>
        <w:spacing w:lineRule="auto" w:line="276" w:before="120" w:after="120"/>
        <w:rPr/>
      </w:pPr>
      <w:r>
        <w:rPr>
          <w:rFonts w:eastAsia="Arial Unicode MS"/>
          <w:sz w:val="24"/>
          <w:lang w:val="el-GR"/>
        </w:rPr>
        <w:t xml:space="preserve">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w:t>
      </w:r>
      <w:r>
        <w:rPr>
          <w:rFonts w:eastAsia="Arial Unicode MS"/>
          <w:b/>
          <w:sz w:val="24"/>
          <w:lang w:val="el-GR"/>
        </w:rPr>
        <w:t>εντός προθεσμίας</w:t>
      </w:r>
      <w:r>
        <w:rPr>
          <w:rFonts w:eastAsia="Arial Unicode MS"/>
          <w:sz w:val="24"/>
          <w:lang w:val="el-GR"/>
        </w:rPr>
        <w:t xml:space="preserve">, </w:t>
      </w:r>
      <w:r>
        <w:rPr>
          <w:rFonts w:eastAsia="Arial Unicode MS"/>
          <w:b/>
          <w:sz w:val="24"/>
          <w:lang w:val="el-GR"/>
        </w:rPr>
        <w:t>δέκα (10) ημερών</w:t>
      </w:r>
      <w:r>
        <w:rPr>
          <w:rFonts w:eastAsia="Arial Unicode MS"/>
          <w:sz w:val="24"/>
          <w:lang w:val="el-GR"/>
        </w:rPr>
        <w:t xml:space="preserve"> από την κοινοποίηση της σχετικής</w:t>
      </w:r>
      <w:r>
        <w:rPr>
          <w:rFonts w:eastAsia="Arial Unicode MS"/>
          <w:color w:val="0070C0"/>
          <w:sz w:val="24"/>
          <w:lang w:val="el-GR"/>
        </w:rPr>
        <w:t xml:space="preserve"> </w:t>
      </w:r>
      <w:r>
        <w:rPr>
          <w:rFonts w:eastAsia="Arial Unicode MS"/>
          <w:sz w:val="24"/>
          <w:lang w:val="el-GR"/>
        </w:rPr>
        <w:t>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pPr>
        <w:pStyle w:val="Normal"/>
        <w:suppressAutoHyphens w:val="false"/>
        <w:spacing w:lineRule="auto" w:line="276"/>
        <w:rPr/>
      </w:pPr>
      <w:r>
        <w:rPr>
          <w:rFonts w:eastAsia="Arial Unicode MS"/>
          <w:sz w:val="24"/>
          <w:lang w:val="el-GR"/>
        </w:rPr>
        <w:t xml:space="preserve">Ειδικότερα, το σύνολο των στοιχείων και δικαιολογητικών της ως άνω παραγράφου </w:t>
      </w:r>
      <w:r>
        <w:rPr>
          <w:rFonts w:eastAsia="Arial Unicode MS"/>
          <w:b/>
          <w:sz w:val="24"/>
          <w:lang w:val="el-GR"/>
        </w:rPr>
        <w:t xml:space="preserve">αποστέλλονται από αυτόν σε μορφή ηλεκτρονικών αρχείων με μορφότυπο </w:t>
      </w:r>
      <w:r>
        <w:rPr>
          <w:rFonts w:eastAsia="Arial Unicode MS"/>
          <w:b/>
          <w:sz w:val="24"/>
          <w:lang w:val="en-US"/>
        </w:rPr>
        <w:t>PDF</w:t>
      </w:r>
      <w:r>
        <w:rPr>
          <w:rFonts w:eastAsia="Arial Unicode MS"/>
          <w:sz w:val="24"/>
          <w:lang w:val="el-GR"/>
        </w:rPr>
        <w:t>, σύμφωνα με τα ειδικώς οριζόμενα στη παράγραφο 2.4.2.5. της παρούσας.</w:t>
      </w:r>
    </w:p>
    <w:p>
      <w:pPr>
        <w:pStyle w:val="Normal"/>
        <w:shd w:val="clear" w:color="auto" w:fill="FFFFFF"/>
        <w:spacing w:lineRule="auto" w:line="276"/>
        <w:rPr/>
      </w:pPr>
      <w:r>
        <w:rPr>
          <w:rFonts w:eastAsia="Arial Unicode MS"/>
          <w:sz w:val="24"/>
          <w:lang w:val="el-GR"/>
        </w:rPr>
        <w:t xml:space="preserve">Εντός της προθεσμίας υποβολής των δικαιολογητικών κατακύρωσης και </w:t>
      </w:r>
      <w:r>
        <w:rPr>
          <w:rFonts w:eastAsia="Arial Unicode MS"/>
          <w:b/>
          <w:sz w:val="24"/>
          <w:lang w:val="el-GR"/>
        </w:rPr>
        <w:t>το αργότερο έως την τρίτη (3</w:t>
      </w:r>
      <w:r>
        <w:rPr>
          <w:rFonts w:eastAsia="Arial Unicode MS"/>
          <w:b/>
          <w:sz w:val="24"/>
          <w:vertAlign w:val="superscript"/>
          <w:lang w:val="el-GR"/>
        </w:rPr>
        <w:t>η</w:t>
      </w:r>
      <w:r>
        <w:rPr>
          <w:rFonts w:eastAsia="Arial Unicode MS"/>
          <w:b/>
          <w:sz w:val="24"/>
          <w:lang w:val="el-GR"/>
        </w:rPr>
        <w:t>) εργάσιμη ημέρα από την καταληκτική ημερομηνία ηλεκτρονικής υποβολής των δικαιολογητικών κατακύρωσης, προσκομίζονται</w:t>
      </w:r>
      <w:r>
        <w:rPr>
          <w:rFonts w:eastAsia="Arial Unicode MS"/>
          <w:sz w:val="24"/>
          <w:lang w:val="el-GR"/>
        </w:rPr>
        <w:t xml:space="preserve"> με ευθύνη του οικονομικού φορέα, στην αναθέτουσα αρχή, </w:t>
      </w:r>
      <w:r>
        <w:rPr>
          <w:rFonts w:eastAsia="Arial Unicode MS"/>
          <w:b/>
          <w:sz w:val="24"/>
          <w:lang w:val="el-GR"/>
        </w:rPr>
        <w:t>σε έντυπη μορφή και σε κλειστό φάκελο,</w:t>
      </w:r>
      <w:r>
        <w:rPr>
          <w:rFonts w:eastAsia="Arial Unicode MS"/>
          <w:sz w:val="24"/>
          <w:lang w:val="el-GR"/>
        </w:rPr>
        <w:t xml:space="preserve"> στον οποίο αναγράφεται ο αποστολέας, τα στοιχεία του Διαγωνισμού και ως παραλήπτης η Επιτροπή Διαγωνισμού, </w:t>
      </w:r>
      <w:r>
        <w:rPr>
          <w:rFonts w:eastAsia="Arial Unicode MS"/>
          <w:b/>
          <w:sz w:val="24"/>
          <w:lang w:val="el-GR"/>
        </w:rPr>
        <w:t xml:space="preserve">τα στοιχεία και δικαιολογητικά, τα οποία απαιτείται να προσκομισθούν σε έντυπη μορφή </w:t>
      </w:r>
      <w:r>
        <w:rPr>
          <w:rFonts w:eastAsia="Arial Unicode MS"/>
          <w:sz w:val="24"/>
          <w:lang w:val="el-GR"/>
        </w:rPr>
        <w:t>(ως πρωτότυπα ή ακριβή αντίγραφα), σύμφωνα με τα προβλεπόμενα στις διατάξεις της ως άνω παραγράφου 2.4.2.5</w:t>
      </w:r>
      <w:r>
        <w:rPr>
          <w:rStyle w:val="Style14"/>
          <w:rStyle w:val="Style14"/>
          <w:rFonts w:eastAsia="Arial Unicode MS" w:cs="Calibri"/>
          <w:sz w:val="24"/>
          <w:lang w:val="el-GR"/>
        </w:rPr>
        <w:footnoteReference w:id="69"/>
      </w:r>
      <w:r>
        <w:rPr>
          <w:rFonts w:eastAsia="Arial Unicode MS"/>
          <w:sz w:val="24"/>
          <w:lang w:val="el-GR"/>
        </w:rPr>
        <w:t xml:space="preserve">. </w:t>
      </w:r>
    </w:p>
    <w:p>
      <w:pPr>
        <w:pStyle w:val="Normal"/>
        <w:shd w:val="clear" w:color="auto" w:fill="FFFFFF"/>
        <w:spacing w:lineRule="auto" w:line="276"/>
        <w:rPr/>
      </w:pPr>
      <w:r>
        <w:rPr>
          <w:rFonts w:eastAsia="Arial Unicode MS"/>
          <w:b/>
          <w:sz w:val="24"/>
          <w:lang w:val="el-GR"/>
        </w:rPr>
        <w:t>Αν δεν προσκομισθούν τα παραπάνω δικαιολογητικά ή υπάρχουν ελλείψεις σε αυτά που υποβλήθηκαν</w:t>
      </w:r>
      <w:r>
        <w:rPr>
          <w:rFonts w:eastAsia="Arial Unicode MS"/>
          <w:sz w:val="24"/>
          <w:lang w:val="el-GR"/>
        </w:rPr>
        <w:t xml:space="preserve">, η αναθέτουσα αρχή </w:t>
      </w:r>
      <w:r>
        <w:rPr>
          <w:rFonts w:eastAsia="Arial Unicode MS"/>
          <w:sz w:val="24"/>
          <w:u w:val="single"/>
          <w:lang w:val="el-GR"/>
        </w:rPr>
        <w:t>καλεί τον προσωρινό ανάδοχο να προσκομίσει</w:t>
      </w:r>
      <w:r>
        <w:rPr>
          <w:rFonts w:eastAsia="Arial Unicode MS"/>
          <w:sz w:val="24"/>
          <w:lang w:val="el-GR"/>
        </w:rPr>
        <w:t xml:space="preserve"> τα ελλείποντα δικαιολογητικά ή να συμπληρώσει τα ήδη υποβληθέντα ή να παράσχει διευκρινίσεις με την έννοια του άρθρου 102 του ν. 4412/2016, </w:t>
      </w:r>
      <w:r>
        <w:rPr>
          <w:rFonts w:eastAsia="Arial Unicode MS"/>
          <w:sz w:val="24"/>
          <w:u w:val="single"/>
          <w:lang w:val="el-GR"/>
        </w:rPr>
        <w:t>εντός δέκα (10) ημερών</w:t>
      </w:r>
      <w:r>
        <w:rPr>
          <w:rFonts w:eastAsia="Arial Unicode MS"/>
          <w:sz w:val="24"/>
          <w:lang w:val="el-GR"/>
        </w:rPr>
        <w:t xml:space="preserve"> από την κοινοποίηση της σχετικής πρόσκλησης σε αυτόν.</w:t>
      </w:r>
    </w:p>
    <w:p>
      <w:pPr>
        <w:pStyle w:val="Normal"/>
        <w:shd w:val="clear" w:color="auto" w:fill="FFFFFF"/>
        <w:spacing w:lineRule="auto" w:line="276" w:before="0" w:after="0"/>
        <w:rPr/>
      </w:pPr>
      <w:r>
        <w:rPr>
          <w:rFonts w:eastAsia="Arial Unicode MS"/>
          <w:sz w:val="24"/>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w:t>
      </w:r>
      <w:r>
        <w:rPr>
          <w:rFonts w:eastAsia="Arial Unicode MS"/>
          <w:b/>
          <w:sz w:val="24"/>
          <w:lang w:val="el-GR"/>
        </w:rPr>
        <w:t>για παράταση της ως άνω προθεσμίας</w:t>
      </w:r>
      <w:r>
        <w:rPr>
          <w:rFonts w:eastAsia="Arial Unicode MS"/>
          <w:sz w:val="24"/>
          <w:lang w:val="el-GR"/>
        </w:rPr>
        <w:t xml:space="preserve">, συνοδευόμενο από αποδεικτικά έγγραφα περί αίτησης χορήγησης δικαιολογητικών προσωρινού αναδόχου. </w:t>
      </w:r>
    </w:p>
    <w:p>
      <w:pPr>
        <w:pStyle w:val="Normal"/>
        <w:shd w:val="clear" w:color="auto" w:fill="FFFFFF"/>
        <w:spacing w:lineRule="auto" w:line="276" w:before="0" w:after="0"/>
        <w:rPr/>
      </w:pPr>
      <w:r>
        <w:rPr>
          <w:rFonts w:eastAsia="Arial Unicode MS"/>
          <w:b/>
          <w:sz w:val="24"/>
          <w:lang w:val="el-GR"/>
        </w:rPr>
        <w:t>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Pr>
          <w:rFonts w:eastAsia="Arial Unicode MS"/>
          <w:sz w:val="24"/>
          <w:lang w:val="el-GR"/>
        </w:rPr>
        <w:t xml:space="preserve">. </w:t>
      </w:r>
    </w:p>
    <w:p>
      <w:pPr>
        <w:pStyle w:val="Normal"/>
        <w:shd w:val="clear" w:color="auto" w:fill="FFFFFF"/>
        <w:spacing w:lineRule="auto" w:line="276" w:before="120" w:after="120"/>
        <w:rPr>
          <w:rFonts w:eastAsia="Arial Unicode MS"/>
          <w:sz w:val="24"/>
          <w:lang w:val="el-GR"/>
        </w:rPr>
      </w:pPr>
      <w:r>
        <w:rPr>
          <w:rFonts w:eastAsia="Arial Unicode MS"/>
          <w:sz w:val="24"/>
          <w:lang w:val="el-GR"/>
        </w:rPr>
        <w:t>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pPr>
        <w:pStyle w:val="Normal"/>
        <w:shd w:val="clear" w:color="auto" w:fill="FFFFFF"/>
        <w:spacing w:lineRule="auto" w:line="276"/>
        <w:rPr/>
      </w:pPr>
      <w:r>
        <w:rPr>
          <w:rFonts w:eastAsia="Arial Unicode MS"/>
          <w:b/>
          <w:sz w:val="24"/>
          <w:lang w:val="el-GR"/>
        </w:rPr>
        <w:t xml:space="preserve">Απορρίπτεται η προσφορά του προσωρινού αναδόχου, </w:t>
      </w:r>
      <w:r>
        <w:rPr>
          <w:rFonts w:eastAsia="Arial Unicode MS"/>
          <w:sz w:val="24"/>
          <w:lang w:val="el-GR"/>
        </w:rPr>
        <w:t>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pPr>
        <w:pStyle w:val="Normal"/>
        <w:shd w:val="clear" w:color="auto" w:fill="FFFFFF"/>
        <w:spacing w:lineRule="auto" w:line="276"/>
        <w:rPr>
          <w:rFonts w:eastAsia="Arial Unicode MS"/>
          <w:sz w:val="24"/>
          <w:lang w:val="el-GR"/>
        </w:rPr>
      </w:pPr>
      <w:r>
        <w:rPr>
          <w:rFonts w:eastAsia="Arial Unicode MS"/>
          <w:sz w:val="24"/>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ή </w:t>
      </w:r>
    </w:p>
    <w:p>
      <w:pPr>
        <w:pStyle w:val="Normal"/>
        <w:shd w:val="clear" w:color="auto" w:fill="FFFFFF"/>
        <w:spacing w:lineRule="auto" w:line="276" w:before="0" w:after="0"/>
        <w:rPr>
          <w:rFonts w:eastAsia="Arial Unicode MS"/>
          <w:sz w:val="24"/>
          <w:lang w:val="el-GR"/>
        </w:rPr>
      </w:pPr>
      <w:r>
        <w:rPr>
          <w:rFonts w:eastAsia="Arial Unicode MS"/>
          <w:sz w:val="24"/>
          <w:lang w:val="el-GR"/>
        </w:rPr>
        <w:t xml:space="preserve">ii)  δεν υποβληθούν στο προκαθορισμένο χρονικό διάστημα τα απαιτούμενα πρωτότυπα ή αντίγραφα των παραπάνω δικαιολογητικών, ή </w:t>
      </w:r>
    </w:p>
    <w:p>
      <w:pPr>
        <w:pStyle w:val="Normal"/>
        <w:shd w:val="clear" w:color="auto" w:fill="FFFFFF"/>
        <w:spacing w:lineRule="auto" w:line="276" w:before="0" w:after="0"/>
        <w:rPr>
          <w:rFonts w:eastAsia="Arial Unicode MS"/>
          <w:sz w:val="24"/>
          <w:lang w:val="el-GR"/>
        </w:rPr>
      </w:pPr>
      <w:r>
        <w:rPr>
          <w:rFonts w:eastAsia="Arial Unicode MS"/>
          <w:sz w:val="24"/>
          <w:lang w:val="el-GR"/>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pPr>
        <w:pStyle w:val="Normal"/>
        <w:shd w:val="clear" w:color="auto" w:fill="FFFFFF"/>
        <w:spacing w:lineRule="auto" w:line="276" w:before="120" w:after="0"/>
        <w:rPr/>
      </w:pPr>
      <w:r>
        <w:rPr>
          <w:rFonts w:eastAsia="Arial Unicode MS"/>
          <w:b/>
          <w:sz w:val="24"/>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Pr>
          <w:rFonts w:eastAsia="Arial Unicode MS"/>
          <w:b/>
          <w:i/>
          <w:sz w:val="24"/>
          <w:lang w:val="el-GR"/>
        </w:rPr>
        <w:t xml:space="preserve"> </w:t>
      </w:r>
      <w:r>
        <w:rPr>
          <w:rFonts w:eastAsia="Arial Unicode MS"/>
          <w:b/>
          <w:sz w:val="24"/>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Pr>
          <w:rStyle w:val="Style14"/>
          <w:rStyle w:val="Style14"/>
          <w:rFonts w:eastAsia="Arial Unicode MS" w:cs="Calibri"/>
          <w:b/>
          <w:sz w:val="24"/>
          <w:lang w:val="el-GR"/>
        </w:rPr>
        <w:footnoteReference w:id="70"/>
      </w:r>
      <w:r>
        <w:rPr>
          <w:rFonts w:eastAsia="Arial Unicode MS"/>
          <w:b/>
          <w:sz w:val="24"/>
          <w:lang w:val="el-GR"/>
        </w:rPr>
        <w:t xml:space="preserve">. </w:t>
      </w:r>
    </w:p>
    <w:p>
      <w:pPr>
        <w:pStyle w:val="Normal"/>
        <w:shd w:val="clear" w:color="auto" w:fill="FFFFFF"/>
        <w:spacing w:lineRule="auto" w:line="276" w:before="120" w:after="120"/>
        <w:rPr/>
      </w:pPr>
      <w:r>
        <w:rPr>
          <w:rFonts w:eastAsia="Arial Unicode MS"/>
          <w:sz w:val="24"/>
          <w:lang w:val="el-GR"/>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w:t>
      </w:r>
      <w:r>
        <w:rPr>
          <w:rFonts w:eastAsia="Arial Unicode MS"/>
          <w:b/>
          <w:sz w:val="24"/>
          <w:lang w:val="el-GR"/>
        </w:rPr>
        <w:t xml:space="preserve">η διαδικασία ματαιώνεται. </w:t>
      </w:r>
    </w:p>
    <w:p>
      <w:pPr>
        <w:pStyle w:val="Normal"/>
        <w:shd w:val="clear" w:color="auto" w:fill="FFFFFF"/>
        <w:spacing w:lineRule="auto" w:line="276"/>
        <w:rPr/>
      </w:pPr>
      <w:r>
        <w:rPr>
          <w:rFonts w:eastAsia="Arial Unicode MS"/>
          <w:sz w:val="24"/>
          <w:lang w:val="el-GR"/>
        </w:rPr>
        <w:t xml:space="preserve">Η </w:t>
      </w:r>
      <w:r>
        <w:rPr>
          <w:rFonts w:eastAsia="Arial Unicode MS"/>
          <w:b/>
          <w:sz w:val="24"/>
          <w:lang w:val="el-GR"/>
        </w:rPr>
        <w:t>διαδικασία ελέγχου</w:t>
      </w:r>
      <w:r>
        <w:rPr>
          <w:rFonts w:eastAsia="Arial Unicode MS"/>
          <w:sz w:val="24"/>
          <w:lang w:val="el-GR"/>
        </w:rPr>
        <w:t xml:space="preserve"> των παραπάνω δικαιολογητικών </w:t>
      </w:r>
      <w:r>
        <w:rPr>
          <w:rFonts w:eastAsia="Arial Unicode MS"/>
          <w:b/>
          <w:sz w:val="24"/>
          <w:lang w:val="el-GR"/>
        </w:rPr>
        <w:t>ολοκληρώνεται</w:t>
      </w:r>
      <w:r>
        <w:rPr>
          <w:rFonts w:eastAsia="Arial Unicode MS"/>
          <w:sz w:val="24"/>
          <w:lang w:val="el-GR"/>
        </w:rPr>
        <w:t xml:space="preserve"> με τη σύνταξη πρακτικού από την Επιτροπή του Διαγωνισμού, </w:t>
      </w:r>
      <w:r>
        <w:rPr>
          <w:rFonts w:eastAsia="Arial Unicode MS"/>
          <w:b/>
          <w:sz w:val="24"/>
          <w:lang w:val="el-GR"/>
        </w:rPr>
        <w:t>στο οποίο αναγράφεται η τυχόν συμπλήρωση δικαιολογητικών</w:t>
      </w:r>
      <w:r>
        <w:rPr>
          <w:rFonts w:eastAsia="Arial Unicode MS"/>
          <w:sz w:val="24"/>
          <w:lang w:val="el-GR"/>
        </w:rPr>
        <w:t xml:space="preserve"> σύμφωνα με όσα ορίζονται ανωτέρω (παράγραφος 3.1.2.1.) και τη</w:t>
      </w:r>
      <w:r>
        <w:rPr>
          <w:rFonts w:eastAsia="Arial Unicode MS"/>
          <w:b/>
          <w:sz w:val="24"/>
          <w:lang w:val="el-GR"/>
        </w:rPr>
        <w:t xml:space="preserve"> διαβίβασή του στο αποφαινόμενο όργανο</w:t>
      </w:r>
      <w:r>
        <w:rPr>
          <w:rFonts w:eastAsia="Arial Unicode MS"/>
          <w:sz w:val="24"/>
          <w:lang w:val="el-GR"/>
        </w:rPr>
        <w:t xml:space="preserve"> της αναθέτουσας αρχής </w:t>
      </w:r>
      <w:r>
        <w:rPr>
          <w:rFonts w:eastAsia="Arial Unicode MS"/>
          <w:b/>
          <w:sz w:val="24"/>
          <w:lang w:val="el-GR"/>
        </w:rPr>
        <w:t>για τη λήψη απόφασης</w:t>
      </w:r>
      <w:r>
        <w:rPr>
          <w:rFonts w:eastAsia="Arial Unicode MS"/>
          <w:sz w:val="24"/>
          <w:lang w:val="el-GR"/>
        </w:rPr>
        <w:t xml:space="preserve"> </w:t>
      </w:r>
      <w:r>
        <w:rPr>
          <w:rFonts w:eastAsia="Arial Unicode MS"/>
          <w:b/>
          <w:sz w:val="24"/>
          <w:lang w:val="el-GR"/>
        </w:rPr>
        <w:t xml:space="preserve">είτε για την κατακύρωση της σύμβασης, είτε για τη ματαίωση της διαδικασίας. </w:t>
      </w:r>
    </w:p>
    <w:p>
      <w:pPr>
        <w:pStyle w:val="Normal"/>
        <w:tabs>
          <w:tab w:val="clear" w:pos="720"/>
          <w:tab w:val="left" w:pos="2743" w:leader="none"/>
        </w:tabs>
        <w:spacing w:lineRule="auto" w:line="276"/>
        <w:rPr/>
      </w:pPr>
      <w:r>
        <w:rPr>
          <w:b/>
          <w:sz w:val="24"/>
          <w:u w:val="single"/>
          <w:lang w:val="el-GR"/>
        </w:rPr>
        <w:t>Επισημαίνεται ότι:</w:t>
      </w:r>
      <w:r>
        <w:rPr>
          <w:b/>
          <w:sz w:val="24"/>
          <w:lang w:val="el-GR"/>
        </w:rPr>
        <w:tab/>
      </w:r>
    </w:p>
    <w:p>
      <w:pPr>
        <w:pStyle w:val="Normal"/>
        <w:spacing w:lineRule="auto" w:line="276"/>
        <w:rPr/>
      </w:pPr>
      <w:r>
        <w:rPr>
          <w:b/>
          <w:sz w:val="24"/>
          <w:lang w:val="el-GR"/>
        </w:rPr>
        <w:t>Η αναθέτουσα αρχή, αιτιολογημένα και κατόπιν γνώμης της αρμόδιας επιτροπής του διαγωνισμού</w:t>
      </w:r>
      <w:r>
        <w:rPr>
          <w:sz w:val="24"/>
          <w:lang w:val="el-GR"/>
        </w:rPr>
        <w:t xml:space="preserve">,  </w:t>
      </w:r>
      <w:r>
        <w:rPr>
          <w:b/>
          <w:sz w:val="24"/>
          <w:lang w:val="el-GR"/>
        </w:rPr>
        <w:t>μπορεί να  κατακυρώσει τη σύμβαση για ολόκληρη ή μεγαλύτερη ή μικρότερη ποσότητα</w:t>
      </w:r>
      <w:r>
        <w:rPr>
          <w:sz w:val="24"/>
          <w:lang w:val="el-GR"/>
        </w:rPr>
        <w:t xml:space="preserve"> αγαθών </w:t>
      </w:r>
      <w:r>
        <w:rPr>
          <w:b/>
          <w:sz w:val="24"/>
          <w:lang w:val="el-GR"/>
        </w:rPr>
        <w:t>από αυτή που καθορίζεται στο ΠΑΡΑΡΤΗΜΑ ΙΙ</w:t>
      </w:r>
      <w:r>
        <w:rPr>
          <w:sz w:val="24"/>
          <w:lang w:val="el-GR"/>
        </w:rPr>
        <w:t xml:space="preserve"> της παρούσας </w:t>
      </w:r>
      <w:r>
        <w:rPr>
          <w:b/>
          <w:sz w:val="24"/>
          <w:lang w:val="el-GR"/>
        </w:rPr>
        <w:t>σε ποσοστό ως εξής;</w:t>
      </w:r>
      <w:r>
        <w:rPr>
          <w:b/>
          <w:w w:val="105"/>
          <w:sz w:val="24"/>
          <w:lang w:val="el-GR"/>
        </w:rPr>
        <w:t xml:space="preserve"> </w:t>
      </w:r>
    </w:p>
    <w:p>
      <w:pPr>
        <w:pStyle w:val="Normal"/>
        <w:numPr>
          <w:ilvl w:val="0"/>
          <w:numId w:val="5"/>
        </w:numPr>
        <w:spacing w:lineRule="auto" w:line="276"/>
        <w:ind w:left="0" w:right="0" w:hanging="0"/>
        <w:rPr/>
      </w:pPr>
      <w:r>
        <w:rPr>
          <w:w w:val="105"/>
          <w:sz w:val="24"/>
          <w:lang w:val="el-GR"/>
        </w:rPr>
        <w:t>Έως εκατόν είκοσι τοις εκατό (120%)</w:t>
      </w:r>
      <w:r>
        <w:rPr>
          <w:rStyle w:val="Style14"/>
          <w:rStyle w:val="Style14"/>
          <w:rFonts w:cs="Calibri"/>
          <w:sz w:val="24"/>
          <w:lang w:val="el-GR"/>
        </w:rPr>
        <w:footnoteReference w:id="71"/>
      </w:r>
      <w:r>
        <w:rPr>
          <w:sz w:val="24"/>
          <w:lang w:val="el-GR"/>
        </w:rPr>
        <w:t xml:space="preserve"> στην περίπτωση της μεγαλύτερης ποσότητας και </w:t>
      </w:r>
    </w:p>
    <w:p>
      <w:pPr>
        <w:pStyle w:val="Normal"/>
        <w:numPr>
          <w:ilvl w:val="0"/>
          <w:numId w:val="5"/>
        </w:numPr>
        <w:spacing w:lineRule="auto" w:line="276"/>
        <w:ind w:left="0" w:right="0" w:hanging="0"/>
        <w:rPr/>
      </w:pPr>
      <w:r>
        <w:rPr>
          <w:sz w:val="24"/>
          <w:lang w:val="el-GR"/>
        </w:rPr>
        <w:t xml:space="preserve">Έως  </w:t>
      </w:r>
      <w:r>
        <w:rPr>
          <w:sz w:val="24"/>
          <w:lang w:val="el-GR" w:eastAsia="el-GR"/>
        </w:rPr>
        <w:t>ογδόντα τοις εκατό (80%)</w:t>
      </w:r>
      <w:r>
        <w:rPr>
          <w:rStyle w:val="Style14"/>
          <w:rStyle w:val="Style14"/>
          <w:rFonts w:cs="Calibri"/>
          <w:sz w:val="24"/>
          <w:lang w:val="el-GR"/>
        </w:rPr>
        <w:footnoteReference w:id="72"/>
      </w:r>
      <w:r>
        <w:rPr>
          <w:sz w:val="24"/>
          <w:lang w:val="el-GR"/>
        </w:rPr>
        <w:t xml:space="preserve"> στην περίπτωση μικρότερης ποσότητας.  </w:t>
      </w:r>
    </w:p>
    <w:p>
      <w:pPr>
        <w:pStyle w:val="Normal"/>
        <w:shd w:val="clear" w:color="auto" w:fill="FFFFFF"/>
        <w:spacing w:lineRule="auto" w:line="276" w:before="0" w:after="0"/>
        <w:rPr>
          <w:rFonts w:eastAsia="Arial Unicode MS"/>
          <w:sz w:val="24"/>
          <w:lang w:val="el-GR"/>
        </w:rPr>
      </w:pPr>
      <w:r>
        <w:rPr>
          <w:rFonts w:eastAsia="Arial Unicode MS"/>
          <w:sz w:val="24"/>
          <w:lang w:val="el-GR"/>
        </w:rPr>
      </w:r>
    </w:p>
    <w:p>
      <w:pPr>
        <w:pStyle w:val="2"/>
        <w:spacing w:lineRule="auto" w:line="276" w:before="0" w:after="0"/>
        <w:ind w:left="207" w:right="0" w:hanging="567"/>
        <w:rPr/>
      </w:pPr>
      <w:bookmarkStart w:id="138" w:name="__RefHeading___Toc35621_1890191151"/>
      <w:bookmarkStart w:id="139" w:name="_Toc492539476"/>
      <w:bookmarkStart w:id="140" w:name="_Toc127963078"/>
      <w:bookmarkEnd w:id="138"/>
      <w:r>
        <w:rPr>
          <w:rFonts w:eastAsia="Arial Unicode MS" w:cs="Calibri" w:ascii="Calibri" w:hAnsi="Calibri"/>
          <w:sz w:val="24"/>
          <w:szCs w:val="24"/>
          <w:lang w:val="el-GR"/>
        </w:rPr>
        <w:t>3.3</w:t>
        <w:tab/>
        <w:t>Κατακύρωση - σύναψη σύμβασης</w:t>
      </w:r>
      <w:bookmarkEnd w:id="139"/>
      <w:bookmarkEnd w:id="140"/>
      <w:r>
        <w:rPr>
          <w:rFonts w:eastAsia="Arial Unicode MS" w:cs="Calibri" w:ascii="Calibri" w:hAnsi="Calibri"/>
          <w:sz w:val="24"/>
          <w:szCs w:val="24"/>
          <w:lang w:val="el-GR"/>
        </w:rPr>
        <w:t xml:space="preserve"> </w:t>
      </w:r>
    </w:p>
    <w:p>
      <w:pPr>
        <w:pStyle w:val="Normal"/>
        <w:spacing w:lineRule="auto" w:line="276" w:before="120" w:after="120"/>
        <w:rPr/>
      </w:pPr>
      <w:r>
        <w:rPr>
          <w:rFonts w:eastAsia="Arial Unicode MS"/>
          <w:b/>
          <w:sz w:val="24"/>
          <w:lang w:val="el-GR"/>
        </w:rPr>
        <w:t xml:space="preserve">3.3.1. </w:t>
      </w:r>
      <w:r>
        <w:rPr>
          <w:rFonts w:eastAsia="Arial Unicode MS"/>
          <w:sz w:val="24"/>
          <w:lang w:val="el-GR"/>
        </w:rPr>
        <w:t xml:space="preserve">Τα αποτελέσματα του ελέγχου των παραπάνω δικαιολογητικών και της εισήγησης της Επιτροπής </w:t>
      </w:r>
      <w:r>
        <w:rPr>
          <w:rFonts w:eastAsia="Arial Unicode MS"/>
          <w:b/>
          <w:sz w:val="24"/>
          <w:lang w:val="el-GR"/>
        </w:rPr>
        <w:t>επικυρώνονται με την απόφαση κατακύρωσης</w:t>
      </w:r>
      <w:r>
        <w:rPr>
          <w:rFonts w:eastAsia="Arial Unicode MS"/>
          <w:sz w:val="24"/>
          <w:lang w:val="el-GR"/>
        </w:rPr>
        <w:t xml:space="preserve">, στην οποία </w:t>
      </w:r>
      <w:r>
        <w:rPr>
          <w:rFonts w:eastAsia="Arial Unicode MS"/>
          <w:sz w:val="24"/>
          <w:u w:val="single"/>
          <w:lang w:val="el-GR"/>
        </w:rPr>
        <w:t>ενσωματώνεται</w:t>
      </w:r>
      <w:r>
        <w:rPr>
          <w:rFonts w:eastAsia="Arial Unicode MS"/>
          <w:sz w:val="24"/>
          <w:lang w:val="el-GR"/>
        </w:rPr>
        <w:t xml:space="preserve"> </w:t>
      </w:r>
      <w:r>
        <w:rPr>
          <w:rFonts w:eastAsia="Arial Unicode MS"/>
          <w:sz w:val="24"/>
          <w:u w:val="single"/>
          <w:lang w:val="el-GR"/>
        </w:rPr>
        <w:t xml:space="preserve">η απόφαση έγκρισης των πρακτικών </w:t>
      </w:r>
      <w:r>
        <w:rPr>
          <w:rFonts w:eastAsia="Arial Unicode MS"/>
          <w:sz w:val="24"/>
          <w:lang w:val="el-GR"/>
        </w:rPr>
        <w:t xml:space="preserve">των περ. α &amp; β της παρ. 2 του άρθρου 100 του ν. 4412/2016 (περί αξιολόγησης των δικαιολογητικών συμμετοχής, της τεχνικής και της οικονομικής προσφοράς).   </w:t>
      </w:r>
    </w:p>
    <w:p>
      <w:pPr>
        <w:pStyle w:val="Normal"/>
        <w:spacing w:lineRule="auto" w:line="276"/>
        <w:rPr/>
      </w:pPr>
      <w:r>
        <w:rPr>
          <w:rFonts w:eastAsia="Arial Unicode MS"/>
          <w:sz w:val="24"/>
          <w:lang w:val="el-GR"/>
        </w:rPr>
        <w:t>Η αναθέτουσα αρχή</w:t>
      </w:r>
      <w:r>
        <w:rPr>
          <w:rFonts w:eastAsia="Arial Unicode MS"/>
          <w:b/>
          <w:sz w:val="24"/>
          <w:lang w:val="el-GR"/>
        </w:rPr>
        <w:t xml:space="preserve"> κοινοποιεί</w:t>
      </w:r>
      <w:r>
        <w:rPr>
          <w:rFonts w:eastAsia="Arial Unicode MS"/>
          <w:sz w:val="24"/>
          <w:lang w:val="el-GR"/>
        </w:rPr>
        <w:t xml:space="preserve">, μέσω της λειτουργικότητας της «Επικοινωνίας», σε όλους τους οικονομικούς φορείς που έλαβαν μέρος στη διαδικασία ανάθεσης, </w:t>
      </w:r>
      <w:r>
        <w:rPr>
          <w:rFonts w:eastAsia="Arial Unicode MS"/>
          <w:sz w:val="24"/>
          <w:u w:val="single"/>
          <w:lang w:val="el-GR"/>
        </w:rPr>
        <w:t>εκτός από όσους αποκλείστηκαν οριστικά δυνάμει της παρ. 1 του άρθρου 72 του ν. 4412/2016,</w:t>
      </w:r>
      <w:r>
        <w:rPr>
          <w:rFonts w:eastAsia="Arial Unicode MS"/>
          <w:sz w:val="24"/>
          <w:lang w:val="el-GR"/>
        </w:rPr>
        <w:t xml:space="preserve"> </w:t>
      </w:r>
      <w:r>
        <w:rPr>
          <w:rFonts w:eastAsia="Arial Unicode MS"/>
          <w:b/>
          <w:sz w:val="24"/>
          <w:lang w:val="el-GR"/>
        </w:rPr>
        <w:t>την απόφαση κατακύρωσης</w:t>
      </w:r>
      <w:r>
        <w:rPr>
          <w:rFonts w:eastAsia="Arial Unicode MS"/>
          <w:sz w:val="24"/>
          <w:lang w:val="el-GR"/>
        </w:rPr>
        <w:t xml:space="preserve"> στην οποία αναφέρονται υποχρεωτικά</w:t>
      </w:r>
      <w:r>
        <w:rPr>
          <w:rFonts w:eastAsia="Arial Unicode MS"/>
          <w:b/>
          <w:sz w:val="24"/>
          <w:lang w:val="el-GR"/>
        </w:rPr>
        <w:t xml:space="preserve"> οι προθεσμίες για την αναστολή της σύναψης σύμβασης</w:t>
      </w:r>
      <w:r>
        <w:rPr>
          <w:rFonts w:eastAsia="Arial Unicode MS"/>
          <w:sz w:val="24"/>
          <w:lang w:val="el-GR"/>
        </w:rPr>
        <w:t xml:space="preserve">, σύμφωνα με τα άρθρα 360 έως 372 του ν. 4412/2016, </w:t>
      </w:r>
      <w:r>
        <w:rPr>
          <w:rFonts w:eastAsia="Arial Unicode MS"/>
          <w:b/>
          <w:sz w:val="24"/>
          <w:lang w:val="el-GR"/>
        </w:rPr>
        <w:t>μαζί με αντίγραφο όλων των πρακτικών της διαδικασίας ελέγχου και αξιολόγησης των προσφορών,</w:t>
      </w:r>
      <w:r>
        <w:rPr>
          <w:rFonts w:eastAsia="Arial Unicode MS"/>
          <w:sz w:val="24"/>
          <w:lang w:val="el-GR"/>
        </w:rPr>
        <w:t xml:space="preserve"> και επιπλέον,</w:t>
      </w:r>
      <w:r>
        <w:rPr>
          <w:rFonts w:eastAsia="Arial Unicode MS"/>
          <w:b/>
          <w:sz w:val="24"/>
          <w:lang w:val="el-GR"/>
        </w:rPr>
        <w:t xml:space="preserve"> αναρτά τα δικαιολογητικά του προσωρινού αναδόχου στα «Συνημμένα Ηλεκτρονικού Διαγωνισμού</w:t>
      </w:r>
      <w:r>
        <w:rPr>
          <w:rFonts w:eastAsia="Arial Unicode MS"/>
          <w:sz w:val="24"/>
          <w:lang w:val="el-GR"/>
        </w:rPr>
        <w:t xml:space="preserve">». </w:t>
      </w:r>
    </w:p>
    <w:p>
      <w:pPr>
        <w:pStyle w:val="Normal"/>
        <w:spacing w:lineRule="auto" w:line="276" w:before="0" w:after="120"/>
        <w:contextualSpacing/>
        <w:rPr/>
      </w:pPr>
      <w:r>
        <w:rPr>
          <w:rFonts w:eastAsia="Arial Unicode MS"/>
          <w:b/>
          <w:sz w:val="24"/>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Pr>
          <w:rStyle w:val="Style14"/>
          <w:rStyle w:val="Style14"/>
          <w:rFonts w:eastAsia="Arial Unicode MS" w:cs="Calibri"/>
          <w:sz w:val="24"/>
          <w:lang w:val="el-GR"/>
        </w:rPr>
        <w:footnoteReference w:id="73"/>
      </w:r>
      <w:r>
        <w:rPr>
          <w:rFonts w:eastAsia="Arial Unicode MS"/>
          <w:sz w:val="24"/>
          <w:lang w:val="el-GR"/>
        </w:rPr>
        <w:t xml:space="preserve">. </w:t>
      </w:r>
    </w:p>
    <w:p>
      <w:pPr>
        <w:pStyle w:val="Normal"/>
        <w:spacing w:lineRule="auto" w:line="276" w:before="120" w:after="0"/>
        <w:contextualSpacing/>
        <w:rPr/>
      </w:pPr>
      <w:r>
        <w:rPr>
          <w:rFonts w:eastAsia="Arial Unicode MS"/>
          <w:b/>
          <w:sz w:val="24"/>
          <w:lang w:val="el-GR"/>
        </w:rPr>
        <w:t>Κατά της απόφασης κατακύρωσης χωρεί προδικαστική προσφυγή</w:t>
      </w:r>
      <w:r>
        <w:rPr>
          <w:rFonts w:eastAsia="Arial Unicode MS"/>
          <w:sz w:val="24"/>
          <w:lang w:val="el-GR"/>
        </w:rPr>
        <w:t xml:space="preserve"> ενώπιον της Ε.Α.ΔΗ.ΣΥ, σύμφωνα με την παράγραφο 3.4 της παρούσας. Δεν επιτρέπεται η άσκηση άλλης διοικητικής προσφυγής κατά της ανωτέρω απόφασης.</w:t>
      </w:r>
      <w:r>
        <w:rPr>
          <w:rStyle w:val="Style14"/>
          <w:rStyle w:val="Style14"/>
          <w:rFonts w:eastAsia="Arial Unicode MS" w:cs="Calibri"/>
          <w:sz w:val="24"/>
          <w:lang w:val="el-GR"/>
        </w:rPr>
        <w:footnoteReference w:id="74"/>
      </w:r>
    </w:p>
    <w:p>
      <w:pPr>
        <w:pStyle w:val="Normal"/>
        <w:spacing w:lineRule="auto" w:line="276"/>
        <w:ind w:left="0" w:right="0" w:hanging="624"/>
        <w:rPr/>
      </w:pPr>
      <w:r>
        <w:rPr>
          <w:b/>
          <w:sz w:val="24"/>
          <w:lang w:val="el-GR"/>
        </w:rPr>
        <w:t xml:space="preserve">3.3.2. </w:t>
      </w:r>
      <w:r>
        <w:rPr>
          <w:b/>
          <w:sz w:val="24"/>
          <w:u w:val="single"/>
          <w:lang w:val="el-GR"/>
        </w:rPr>
        <w:t>Η απόφαση κατακύρωσης καθίσταται οριστική</w:t>
      </w:r>
      <w:r>
        <w:rPr>
          <w:sz w:val="24"/>
          <w:lang w:val="el-GR"/>
        </w:rPr>
        <w:t xml:space="preserve">, </w:t>
      </w:r>
      <w:r>
        <w:rPr>
          <w:b/>
          <w:sz w:val="24"/>
          <w:u w:val="single"/>
          <w:lang w:val="el-GR"/>
        </w:rPr>
        <w:t>εφόσον συντρέξουν οι ακόλουθες προϋποθέσεις σωρευτικά:</w:t>
      </w:r>
    </w:p>
    <w:p>
      <w:pPr>
        <w:pStyle w:val="Normal"/>
        <w:spacing w:lineRule="auto" w:line="276"/>
        <w:jc w:val="both"/>
        <w:rPr/>
      </w:pPr>
      <w:r>
        <w:rPr>
          <w:rFonts w:cs="Calibri" w:ascii="Calibri" w:hAnsi="Calibri"/>
          <w:b/>
          <w:sz w:val="24"/>
          <w:szCs w:val="24"/>
        </w:rPr>
        <w:t>α) κοινοποιηθεί η απόφαση κατακύρωσης σε όλους τους οικονομικούς φορείς που δεν έχουν αποκλειστεί οριστικά</w:t>
      </w:r>
      <w:r>
        <w:rPr>
          <w:rFonts w:cs="Calibri" w:ascii="Calibri" w:hAnsi="Calibri"/>
          <w:sz w:val="24"/>
          <w:szCs w:val="24"/>
        </w:rPr>
        <w:t xml:space="preserve">, </w:t>
      </w:r>
    </w:p>
    <w:p>
      <w:pPr>
        <w:pStyle w:val="Normal"/>
        <w:spacing w:lineRule="auto" w:line="276"/>
        <w:jc w:val="both"/>
        <w:rPr/>
      </w:pPr>
      <w:r>
        <w:rPr>
          <w:rFonts w:cs="Calibri" w:ascii="Calibri" w:hAnsi="Calibri"/>
          <w:b/>
          <w:sz w:val="24"/>
          <w:szCs w:val="24"/>
        </w:rPr>
        <w:t>β) παρέλθει άπρακτη η προθεσμία</w:t>
      </w:r>
      <w:r>
        <w:rPr>
          <w:rFonts w:cs="Calibri" w:ascii="Calibri" w:hAnsi="Calibri"/>
          <w:sz w:val="24"/>
          <w:szCs w:val="24"/>
        </w:rPr>
        <w:t xml:space="preserve"> άσκησης προδικαστικής προσφυγής ή σε περίπτωση άσκησης, παρέλθει άπρακτη η προθεσμία άσκησης αίτησης αναστολής κατά της απόφασης της </w:t>
      </w:r>
      <w:r>
        <w:rPr>
          <w:rFonts w:eastAsia="Arial Unicode MS" w:cs="Calibri" w:ascii="Calibri" w:hAnsi="Calibri"/>
          <w:sz w:val="24"/>
          <w:szCs w:val="24"/>
        </w:rPr>
        <w:t>Ε.Α.ΔΗ.ΣΥ</w:t>
      </w:r>
      <w:r>
        <w:rPr>
          <w:rFonts w:cs="Calibri" w:ascii="Calibri" w:hAnsi="Calibri"/>
          <w:sz w:val="24"/>
          <w:szCs w:val="24"/>
        </w:rPr>
        <w:t xml:space="preserve"> και σε περίπτωση άσκησης αίτησης αναστολής κατά της απόφασης της </w:t>
      </w:r>
      <w:r>
        <w:rPr>
          <w:rFonts w:eastAsia="Arial Unicode MS" w:cs="Calibri" w:ascii="Calibri" w:hAnsi="Calibri"/>
          <w:sz w:val="24"/>
          <w:szCs w:val="24"/>
        </w:rPr>
        <w:t>Ε.Α.ΔΗ.ΣΥ</w:t>
      </w:r>
      <w:r>
        <w:rPr>
          <w:rFonts w:cs="Calibri" w:ascii="Calibri" w:hAnsi="Calibri"/>
          <w:sz w:val="24"/>
          <w:szCs w:val="24"/>
        </w:rPr>
        <w:t>, εκδοθεί απόφαση επί της αίτησης, με την επιφύλαξη της χορήγησης προσωρινής διαταγής, σύμφωνα με όσα ορίζονται  στο τελευταίο εδάφιο της </w:t>
      </w:r>
      <w:r>
        <w:fldChar w:fldCharType="begin"/>
      </w:r>
      <w:r>
        <w:rPr>
          <w:rStyle w:val="ListLabel80"/>
          <w:sz w:val="24"/>
          <w:szCs w:val="24"/>
          <w:rFonts w:cs="Calibri" w:ascii="Calibri" w:hAnsi="Calibri"/>
        </w:rPr>
        <w:instrText> HYPERLINK "http://www.eaadhsy.gr/n4412/n4412fulltextlinks.html" \l "art372_4"</w:instrText>
      </w:r>
      <w:r>
        <w:rPr>
          <w:rStyle w:val="ListLabel80"/>
          <w:sz w:val="24"/>
          <w:szCs w:val="24"/>
          <w:rFonts w:cs="Calibri" w:ascii="Calibri" w:hAnsi="Calibri"/>
        </w:rPr>
        <w:fldChar w:fldCharType="separate"/>
      </w:r>
      <w:r>
        <w:rPr>
          <w:rStyle w:val="ListLabel80"/>
          <w:rFonts w:cs="Calibri" w:ascii="Calibri" w:hAnsi="Calibri"/>
          <w:sz w:val="24"/>
          <w:szCs w:val="24"/>
        </w:rPr>
        <w:t>παρ.</w:t>
      </w:r>
      <w:r>
        <w:rPr>
          <w:rStyle w:val="ListLabel80"/>
          <w:sz w:val="24"/>
          <w:szCs w:val="24"/>
          <w:rFonts w:cs="Calibri" w:ascii="Calibri" w:hAnsi="Calibri"/>
        </w:rPr>
        <w:fldChar w:fldCharType="end"/>
      </w:r>
      <w:r>
        <w:fldChar w:fldCharType="begin"/>
      </w:r>
      <w:r>
        <w:rPr>
          <w:rStyle w:val="ListLabel80"/>
          <w:sz w:val="24"/>
          <w:szCs w:val="24"/>
          <w:rFonts w:cs="Calibri" w:ascii="Calibri" w:hAnsi="Calibri"/>
        </w:rPr>
        <w:instrText> HYPERLINK "http://www.eaadhsy.gr/n4412/n4412fulltextlinks.html" \l "art372_4"</w:instrText>
      </w:r>
      <w:r>
        <w:rPr>
          <w:rStyle w:val="ListLabel80"/>
          <w:sz w:val="24"/>
          <w:szCs w:val="24"/>
          <w:rFonts w:cs="Calibri" w:ascii="Calibri" w:hAnsi="Calibri"/>
        </w:rPr>
        <w:fldChar w:fldCharType="separate"/>
      </w:r>
      <w:r>
        <w:rPr>
          <w:rStyle w:val="ListLabel80"/>
          <w:rFonts w:cs="Calibri" w:ascii="Calibri" w:hAnsi="Calibri"/>
          <w:sz w:val="24"/>
          <w:szCs w:val="24"/>
        </w:rPr>
        <w:t xml:space="preserve"> 4 του άρθρου 372</w:t>
      </w:r>
      <w:r>
        <w:rPr>
          <w:rStyle w:val="ListLabel80"/>
          <w:sz w:val="24"/>
          <w:szCs w:val="24"/>
          <w:rFonts w:cs="Calibri" w:ascii="Calibri" w:hAnsi="Calibri"/>
        </w:rPr>
        <w:fldChar w:fldCharType="end"/>
      </w:r>
      <w:r>
        <w:rPr>
          <w:rFonts w:cs="Calibri" w:ascii="Calibri" w:hAnsi="Calibri"/>
          <w:sz w:val="24"/>
          <w:szCs w:val="24"/>
        </w:rPr>
        <w:t xml:space="preserve"> του ν. 4412/2016,</w:t>
      </w:r>
    </w:p>
    <w:p>
      <w:pPr>
        <w:pStyle w:val="Normal"/>
        <w:spacing w:lineRule="auto" w:line="276"/>
        <w:jc w:val="both"/>
        <w:rPr/>
      </w:pPr>
      <w:r>
        <w:rPr>
          <w:rFonts w:cs="Calibri" w:ascii="Calibri" w:hAnsi="Calibri"/>
          <w:b/>
          <w:sz w:val="24"/>
          <w:szCs w:val="24"/>
        </w:rPr>
        <w:t>γ) ολοκληρωθεί επιτυχώς ο προσυμβατικός έλεγχος</w:t>
      </w:r>
      <w:r>
        <w:rPr>
          <w:rFonts w:cs="Calibri" w:ascii="Calibri" w:hAnsi="Calibri"/>
          <w:sz w:val="24"/>
          <w:szCs w:val="24"/>
        </w:rPr>
        <w:t xml:space="preserve"> από το Ελεγκτικό Συνέδριο, σύμφωνα με τα άρθρα 324 έως 327 του ν. 4700/2020, </w:t>
      </w:r>
      <w:r>
        <w:rPr>
          <w:rFonts w:cs="Calibri" w:ascii="Calibri" w:hAnsi="Calibri"/>
          <w:b/>
          <w:sz w:val="24"/>
          <w:szCs w:val="24"/>
        </w:rPr>
        <w:t>εφόσον απαιτείται</w:t>
      </w:r>
      <w:r>
        <w:rPr>
          <w:rFonts w:cs="Calibri" w:ascii="Calibri" w:hAnsi="Calibri"/>
          <w:sz w:val="24"/>
          <w:szCs w:val="24"/>
        </w:rPr>
        <w:t>,</w:t>
      </w:r>
    </w:p>
    <w:p>
      <w:pPr>
        <w:pStyle w:val="Normal"/>
        <w:spacing w:lineRule="auto" w:line="276"/>
        <w:jc w:val="both"/>
        <w:rPr/>
      </w:pPr>
      <w:r>
        <w:rPr>
          <w:rFonts w:cs="Calibri" w:ascii="Calibri" w:hAnsi="Calibri"/>
          <w:sz w:val="24"/>
          <w:szCs w:val="24"/>
        </w:rPr>
        <w:t>και </w:t>
        <w:br/>
      </w:r>
      <w:r>
        <w:rPr>
          <w:rFonts w:cs="Calibri" w:ascii="Calibri" w:hAnsi="Calibri"/>
          <w:b/>
          <w:sz w:val="24"/>
          <w:szCs w:val="24"/>
        </w:rPr>
        <w:t>δ) ο προσωρινός ανάδοχος,</w:t>
      </w:r>
      <w:r>
        <w:rPr>
          <w:rFonts w:cs="Calibri" w:ascii="Calibri" w:hAnsi="Calibri"/>
          <w:sz w:val="24"/>
          <w:szCs w:val="24"/>
        </w:rPr>
        <w:t xml:space="preserve"> </w:t>
      </w:r>
      <w:r>
        <w:rPr>
          <w:rFonts w:cs="Calibri" w:ascii="Calibri" w:hAnsi="Calibri"/>
          <w:b/>
          <w:sz w:val="24"/>
          <w:szCs w:val="24"/>
          <w:u w:val="single"/>
        </w:rPr>
        <w:t>υποβάλλει, στην περίπτωση που απαιτείται</w:t>
      </w:r>
      <w:r>
        <w:rPr>
          <w:rFonts w:cs="Calibri" w:ascii="Calibri" w:hAnsi="Calibri"/>
          <w:sz w:val="24"/>
          <w:szCs w:val="24"/>
        </w:rPr>
        <w:t xml:space="preserve"> και έπειτα από σχετική πρόσκληση, υπεύθυνη δήλωση, που υπογράφεται σύμφωνα με όσα ορίζονται στο </w:t>
      </w:r>
      <w:hyperlink r:id="rId46">
        <w:r>
          <w:rPr>
            <w:rStyle w:val="ListLabel80"/>
            <w:rFonts w:cs="Calibri" w:ascii="Calibri" w:hAnsi="Calibri"/>
            <w:sz w:val="24"/>
            <w:szCs w:val="24"/>
          </w:rPr>
          <w:t>άρθρο 79Α</w:t>
        </w:r>
      </w:hyperlink>
      <w:r>
        <w:rPr>
          <w:rFonts w:cs="Calibri" w:ascii="Calibri" w:hAnsi="Calibri"/>
          <w:sz w:val="24"/>
          <w:szCs w:val="24"/>
        </w:rPr>
        <w:t xml:space="preserve"> του ν. 4412/2016, στην οποία δηλώνεται ότι, </w:t>
      </w:r>
      <w:r>
        <w:rPr>
          <w:rFonts w:cs="Calibri" w:ascii="Calibri" w:hAnsi="Calibri"/>
          <w:b/>
          <w:sz w:val="24"/>
          <w:szCs w:val="24"/>
          <w:u w:val="single"/>
        </w:rPr>
        <w:t>δεν έχουν επέλθει στο πρόσωπό του οψιγενείς μεταβολές</w:t>
      </w:r>
      <w:r>
        <w:rPr>
          <w:rFonts w:cs="Calibri" w:ascii="Calibri" w:hAnsi="Calibri"/>
          <w:sz w:val="24"/>
          <w:szCs w:val="24"/>
        </w:rPr>
        <w:t xml:space="preserve"> κατά την έννοια του </w:t>
      </w:r>
      <w:r>
        <w:fldChar w:fldCharType="begin"/>
      </w:r>
      <w:r>
        <w:rPr>
          <w:rStyle w:val="ListLabel80"/>
          <w:sz w:val="24"/>
          <w:szCs w:val="24"/>
          <w:rFonts w:cs="Calibri" w:ascii="Calibri" w:hAnsi="Calibri"/>
        </w:rPr>
        <w:instrText> HYPERLINK "http://www.eaadhsy.gr/n4412/n4412fulltextlinks.html" \l "art104"</w:instrText>
      </w:r>
      <w:r>
        <w:rPr>
          <w:rStyle w:val="ListLabel80"/>
          <w:sz w:val="24"/>
          <w:szCs w:val="24"/>
          <w:rFonts w:cs="Calibri" w:ascii="Calibri" w:hAnsi="Calibri"/>
        </w:rPr>
        <w:fldChar w:fldCharType="separate"/>
      </w:r>
      <w:r>
        <w:rPr>
          <w:rStyle w:val="ListLabel80"/>
          <w:rFonts w:cs="Calibri" w:ascii="Calibri" w:hAnsi="Calibri"/>
          <w:sz w:val="24"/>
          <w:szCs w:val="24"/>
        </w:rPr>
        <w:t>άρθρου 104</w:t>
      </w:r>
      <w:r>
        <w:rPr>
          <w:rStyle w:val="ListLabel80"/>
          <w:sz w:val="24"/>
          <w:szCs w:val="24"/>
          <w:rFonts w:cs="Calibri" w:ascii="Calibri" w:hAnsi="Calibri"/>
        </w:rPr>
        <w:fldChar w:fldCharType="end"/>
      </w:r>
      <w:r>
        <w:rPr>
          <w:rFonts w:cs="Calibri" w:ascii="Calibri" w:hAnsi="Calibri"/>
          <w:sz w:val="24"/>
          <w:szCs w:val="24"/>
        </w:rPr>
        <w:t xml:space="preserve"> του ν. 4412/2016 </w:t>
      </w:r>
      <w:r>
        <w:rPr>
          <w:rFonts w:cs="Calibri" w:ascii="Calibri" w:hAnsi="Calibri"/>
          <w:b/>
          <w:sz w:val="24"/>
          <w:szCs w:val="24"/>
          <w:u w:val="single"/>
        </w:rPr>
        <w:t>και μόνον στην περίπτωση του προσυμβατικού ελέγχου ή της άσκησης προδικαστικής προσφυγής κατά της απόφασης κατακύρωσης</w:t>
      </w:r>
      <w:r>
        <w:rPr>
          <w:rFonts w:cs="Calibri" w:ascii="Calibri" w:hAnsi="Calibri"/>
          <w:sz w:val="24"/>
          <w:szCs w:val="24"/>
        </w:rPr>
        <w:t xml:space="preserve">. </w:t>
      </w:r>
      <w:r>
        <w:rPr>
          <w:rFonts w:cs="Calibri" w:ascii="Calibri" w:hAnsi="Calibri"/>
          <w:b/>
          <w:sz w:val="24"/>
          <w:szCs w:val="24"/>
        </w:rPr>
        <w:t xml:space="preserve">Η υπεύθυνη </w:t>
      </w:r>
      <w:r>
        <w:rPr>
          <w:rFonts w:cs="Calibri" w:ascii="Calibri" w:hAnsi="Calibri"/>
          <w:b/>
          <w:sz w:val="24"/>
          <w:szCs w:val="24"/>
          <w:u w:val="single"/>
        </w:rPr>
        <w:t>δήλωση ελέγχεται από την αναθέτουσα αρχή και μνημονεύεται στο συμφωνητικό</w:t>
      </w:r>
      <w:r>
        <w:rPr>
          <w:rFonts w:cs="Calibri" w:ascii="Calibri" w:hAnsi="Calibri"/>
          <w:sz w:val="24"/>
          <w:szCs w:val="24"/>
        </w:rPr>
        <w:t xml:space="preserve">. </w:t>
      </w:r>
    </w:p>
    <w:p>
      <w:pPr>
        <w:pStyle w:val="Normal"/>
        <w:spacing w:lineRule="auto" w:line="276"/>
        <w:jc w:val="both"/>
        <w:rPr>
          <w:rFonts w:ascii="Calibri" w:hAnsi="Calibri" w:cs="Calibri"/>
          <w:b/>
          <w:b/>
          <w:sz w:val="24"/>
          <w:szCs w:val="24"/>
          <w:u w:val="single"/>
        </w:rPr>
      </w:pPr>
      <w:r>
        <w:rPr>
          <w:rFonts w:cs="Calibri" w:ascii="Calibri" w:hAnsi="Calibri"/>
          <w:b/>
          <w:sz w:val="24"/>
          <w:szCs w:val="24"/>
          <w:u w:val="single"/>
        </w:rPr>
      </w:r>
    </w:p>
    <w:p>
      <w:pPr>
        <w:pStyle w:val="Normal"/>
        <w:spacing w:lineRule="auto" w:line="276"/>
        <w:jc w:val="both"/>
        <w:rPr>
          <w:rFonts w:ascii="Calibri" w:hAnsi="Calibri" w:cs="Calibri"/>
          <w:b/>
          <w:b/>
          <w:sz w:val="24"/>
          <w:szCs w:val="24"/>
          <w:u w:val="single"/>
        </w:rPr>
      </w:pPr>
      <w:r>
        <w:rPr>
          <w:rFonts w:cs="Calibri" w:ascii="Calibri" w:hAnsi="Calibri"/>
          <w:b/>
          <w:sz w:val="24"/>
          <w:szCs w:val="24"/>
          <w:u w:val="single"/>
        </w:rPr>
        <w:t>Εφόσον δηλωθούν οψιγενείς μεταβολές, η δήλωση ελέγχεται από την Επιτροπή Διαγωνισμού, η οποία εισηγείται προς το αρμόδιο αποφαινόμενο όργανο.</w:t>
      </w:r>
    </w:p>
    <w:p>
      <w:pPr>
        <w:pStyle w:val="Normal"/>
        <w:spacing w:lineRule="auto" w:line="276"/>
        <w:jc w:val="both"/>
        <w:rPr>
          <w:rFonts w:ascii="Calibri" w:hAnsi="Calibri" w:cs="Calibri"/>
          <w:sz w:val="24"/>
          <w:szCs w:val="24"/>
        </w:rPr>
      </w:pPr>
      <w:r>
        <w:rPr>
          <w:rFonts w:cs="Calibri" w:ascii="Calibri" w:hAnsi="Calibri"/>
          <w:sz w:val="24"/>
          <w:szCs w:val="24"/>
        </w:rPr>
      </w:r>
    </w:p>
    <w:p>
      <w:pPr>
        <w:pStyle w:val="Normal"/>
        <w:spacing w:lineRule="auto" w:line="276"/>
        <w:rPr/>
      </w:pPr>
      <w:r>
        <w:rPr>
          <w:b/>
          <w:sz w:val="24"/>
          <w:lang w:val="el-GR"/>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w:t>
      </w:r>
      <w:r>
        <w:rPr>
          <w:b/>
          <w:sz w:val="24"/>
          <w:u w:val="single"/>
          <w:lang w:val="el-GR"/>
        </w:rPr>
        <w:t>προθεσμία  δεκαπέντε (15) ημερών</w:t>
      </w:r>
      <w:r>
        <w:rPr>
          <w:b/>
          <w:sz w:val="24"/>
          <w:lang w:val="el-GR"/>
        </w:rPr>
        <w:t xml:space="preserve"> από την κοινοποίηση της σχετικής ειδικής πρόσκλησης.</w:t>
      </w:r>
      <w:r>
        <w:rPr>
          <w:sz w:val="24"/>
          <w:lang w:val="el-GR"/>
        </w:rPr>
        <w:t xml:space="preserve"> </w:t>
      </w:r>
    </w:p>
    <w:p>
      <w:pPr>
        <w:pStyle w:val="Normal"/>
        <w:spacing w:lineRule="auto" w:line="276"/>
        <w:rPr>
          <w:sz w:val="24"/>
          <w:lang w:val="el-GR"/>
        </w:rPr>
      </w:pPr>
      <w:r>
        <w:rPr>
          <w:sz w:val="24"/>
          <w:lang w:val="el-GR"/>
        </w:rPr>
        <w:t xml:space="preserve">Η σύμβαση θεωρείται συναφθείσα με την κοινοποίηση της πρόσκλησης του προηγούμενου εδαφίου στον ανάδοχο. </w:t>
      </w:r>
    </w:p>
    <w:p>
      <w:pPr>
        <w:pStyle w:val="Normal"/>
        <w:spacing w:lineRule="auto" w:line="276"/>
        <w:rPr/>
      </w:pPr>
      <w:r>
        <w:rPr>
          <w:b/>
          <w:sz w:val="24"/>
          <w:lang w:val="el-GR"/>
        </w:rPr>
        <w:t>Στην περίπτωση που ο ανάδοχος δεν προσέλθει να υπογράψει το ως άνω συμφωνητικό</w:t>
      </w:r>
      <w:r>
        <w:rPr>
          <w:sz w:val="24"/>
          <w:lang w:val="el-GR"/>
        </w:rPr>
        <w:t xml:space="preserve"> μέσα στην τεθείσα προθεσμία, με την επιφύλαξη αντικειμενικών λόγων ανωτέρας βίας, </w:t>
      </w:r>
      <w:r>
        <w:rPr>
          <w:b/>
          <w:sz w:val="24"/>
          <w:u w:val="single"/>
          <w:lang w:val="el-GR"/>
        </w:rPr>
        <w:t>κηρύσσεται έκπτωτος, καταπίπτει υπέρ της αναθέτουσας αρχής η εγγυητική επιστολή συμμετοχής του</w:t>
      </w:r>
      <w:r>
        <w:rPr>
          <w:sz w:val="24"/>
          <w:lang w:val="el-GR"/>
        </w:rPr>
        <w:t xml:space="preserve">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pPr>
        <w:pStyle w:val="Normal"/>
        <w:spacing w:lineRule="auto" w:line="276"/>
        <w:rPr/>
      </w:pPr>
      <w:r>
        <w:rPr>
          <w:b/>
          <w:sz w:val="24"/>
          <w:u w:val="single"/>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w:t>
      </w:r>
      <w:r>
        <w:rPr>
          <w:sz w:val="24"/>
          <w:lang w:val="el-GR"/>
        </w:rPr>
        <w:t xml:space="preserve">, με την επιφύλαξη της ύπαρξης επιτακτικού λόγου δημόσιου συμφέροντος ή αντικειμενικών λόγων ανωτέρας βίας, </w:t>
      </w:r>
      <w:r>
        <w:rPr>
          <w:b/>
          <w:sz w:val="24"/>
          <w:u w:val="single"/>
          <w:lang w:val="el-GR"/>
        </w:rPr>
        <w:t>ο ανάδοχος δικαιούται να απέχει από την υπογραφή του συμφωνητικού</w:t>
      </w:r>
      <w:r>
        <w:rPr>
          <w:sz w:val="24"/>
          <w:lang w:val="el-GR"/>
        </w:rPr>
        <w:t>, χωρίς να εκπέσει η εγγύηση συμμετοχής του, καθώς και να αναζητήσει αποζημίωση ιδίως δυνάμει των άρθρων 197 και 198 ΑΚ.</w:t>
      </w:r>
    </w:p>
    <w:p>
      <w:pPr>
        <w:pStyle w:val="Normal"/>
        <w:spacing w:lineRule="auto" w:line="276" w:before="0" w:after="0"/>
        <w:rPr>
          <w:rFonts w:eastAsia="Arial Unicode MS"/>
          <w:sz w:val="24"/>
          <w:lang w:val="el-GR"/>
        </w:rPr>
      </w:pPr>
      <w:r>
        <w:rPr>
          <w:rFonts w:eastAsia="Arial Unicode MS"/>
          <w:sz w:val="24"/>
          <w:lang w:val="el-GR"/>
        </w:rPr>
      </w:r>
    </w:p>
    <w:p>
      <w:pPr>
        <w:pStyle w:val="2"/>
        <w:pBdr>
          <w:bottom w:val="single" w:sz="12" w:space="0" w:color="000080"/>
        </w:pBdr>
        <w:spacing w:lineRule="auto" w:line="276" w:before="0" w:after="0"/>
        <w:ind w:left="207" w:right="0" w:hanging="567"/>
        <w:rPr/>
      </w:pPr>
      <w:bookmarkStart w:id="141" w:name="__RefHeading___Toc35623_1890191151"/>
      <w:bookmarkStart w:id="142" w:name="_Toc492539477"/>
      <w:bookmarkStart w:id="143" w:name="_Toc127963079"/>
      <w:bookmarkEnd w:id="141"/>
      <w:r>
        <w:rPr>
          <w:rFonts w:eastAsia="Arial Unicode MS" w:cs="Calibri" w:ascii="Calibri" w:hAnsi="Calibri"/>
          <w:sz w:val="24"/>
          <w:szCs w:val="24"/>
          <w:lang w:val="el-GR"/>
        </w:rPr>
        <w:t>3.4</w:t>
        <w:tab/>
        <w:t>Προδικαστικές Προσφυγές - Προσωρινή και Οριστική Δικαστική Προστασία</w:t>
      </w:r>
      <w:bookmarkEnd w:id="143"/>
      <w:r>
        <w:rPr>
          <w:rFonts w:eastAsia="Arial Unicode MS" w:cs="Calibri" w:ascii="Calibri" w:hAnsi="Calibri"/>
          <w:sz w:val="24"/>
          <w:szCs w:val="24"/>
          <w:lang w:val="el-GR"/>
        </w:rPr>
        <w:t xml:space="preserve"> </w:t>
      </w:r>
      <w:bookmarkEnd w:id="142"/>
    </w:p>
    <w:p>
      <w:pPr>
        <w:pStyle w:val="Normal"/>
        <w:spacing w:lineRule="auto" w:line="276" w:before="120" w:after="120"/>
        <w:rPr/>
      </w:pPr>
      <w:r>
        <w:rPr>
          <w:rFonts w:eastAsia="Arial Unicode MS"/>
          <w:b/>
          <w:sz w:val="24"/>
          <w:lang w:val="el-GR"/>
        </w:rPr>
        <w:t>Α.</w:t>
      </w:r>
      <w:r>
        <w:rPr>
          <w:rFonts w:eastAsia="Arial Unicode MS"/>
          <w:sz w:val="24"/>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345 επ. ν.4412/2016 και 1 επ. π.δ.39/2017,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Style14"/>
          <w:rStyle w:val="Style14"/>
          <w:rFonts w:eastAsia="Arial Unicode MS" w:cs="Calibri"/>
          <w:sz w:val="24"/>
          <w:lang w:val="el-GR"/>
        </w:rPr>
        <w:footnoteReference w:id="75"/>
      </w:r>
      <w:r>
        <w:rPr>
          <w:rFonts w:eastAsia="Arial Unicode MS"/>
          <w:sz w:val="24"/>
          <w:lang w:val="el-GR"/>
        </w:rPr>
        <w:t xml:space="preserve"> .</w:t>
      </w:r>
    </w:p>
    <w:p>
      <w:pPr>
        <w:pStyle w:val="Normal"/>
        <w:spacing w:lineRule="auto" w:line="276"/>
        <w:rPr/>
      </w:pPr>
      <w:r>
        <w:rPr>
          <w:rFonts w:eastAsia="Arial Unicode MS"/>
          <w:sz w:val="24"/>
          <w:lang w:val="el-GR"/>
        </w:rPr>
        <w:t xml:space="preserve">Σε περίπτωση προσφυγής κατά πράξης της αναθέτουσας αρχής, </w:t>
      </w:r>
      <w:r>
        <w:rPr>
          <w:rFonts w:eastAsia="Arial Unicode MS"/>
          <w:b/>
          <w:sz w:val="24"/>
          <w:lang w:val="el-GR"/>
        </w:rPr>
        <w:t>η προθεσμία</w:t>
      </w:r>
      <w:r>
        <w:rPr>
          <w:rFonts w:eastAsia="Arial Unicode MS"/>
          <w:sz w:val="24"/>
          <w:lang w:val="el-GR"/>
        </w:rPr>
        <w:t xml:space="preserve"> για την άσκηση της προδικαστικής προσφυγής είναι:</w:t>
      </w:r>
    </w:p>
    <w:p>
      <w:pPr>
        <w:pStyle w:val="Normal"/>
        <w:spacing w:lineRule="auto" w:line="276"/>
        <w:rPr/>
      </w:pPr>
      <w:r>
        <w:rPr>
          <w:rFonts w:eastAsia="Arial Unicode MS"/>
          <w:b/>
          <w:sz w:val="24"/>
          <w:lang w:val="el-GR"/>
        </w:rPr>
        <w:t xml:space="preserve">(α) δέκα (10) ημέρες </w:t>
      </w:r>
      <w:r>
        <w:rPr>
          <w:rFonts w:eastAsia="Arial Unicode MS"/>
          <w:sz w:val="24"/>
          <w:lang w:val="el-GR"/>
        </w:rPr>
        <w:t xml:space="preserve">από την κοινοποίηση της προσβαλλόμενης πράξης στον ενδιαφερόμενο οικονομικό φορέα αν η πράξη κοινοποιήθηκε </w:t>
      </w:r>
      <w:r>
        <w:rPr>
          <w:rFonts w:eastAsia="Arial Unicode MS"/>
          <w:b/>
          <w:sz w:val="24"/>
          <w:lang w:val="el-GR"/>
        </w:rPr>
        <w:t>με ηλεκτρονικά</w:t>
      </w:r>
      <w:r>
        <w:rPr>
          <w:rFonts w:eastAsia="Arial Unicode MS"/>
          <w:sz w:val="24"/>
          <w:lang w:val="el-GR"/>
        </w:rPr>
        <w:t xml:space="preserve"> μέσα ή τηλεομοιοτυπία ή </w:t>
      </w:r>
    </w:p>
    <w:p>
      <w:pPr>
        <w:pStyle w:val="Normal"/>
        <w:spacing w:lineRule="auto" w:line="276"/>
        <w:rPr/>
      </w:pPr>
      <w:r>
        <w:rPr>
          <w:rFonts w:eastAsia="Arial Unicode MS"/>
          <w:b/>
          <w:sz w:val="24"/>
          <w:lang w:val="el-GR"/>
        </w:rPr>
        <w:t xml:space="preserve">(β) δεκαπέντε (15) ημέρες </w:t>
      </w:r>
      <w:r>
        <w:rPr>
          <w:rFonts w:eastAsia="Arial Unicode MS"/>
          <w:sz w:val="24"/>
          <w:lang w:val="el-GR"/>
        </w:rPr>
        <w:t xml:space="preserve">από την κοινοποίηση της προσβαλλόμενης πράξης σε αυτόν αν χρησιμοποιήθηκαν </w:t>
      </w:r>
      <w:r>
        <w:rPr>
          <w:rFonts w:eastAsia="Arial Unicode MS"/>
          <w:b/>
          <w:sz w:val="24"/>
          <w:lang w:val="el-GR"/>
        </w:rPr>
        <w:t>άλλα μέσα επικοινωνίας</w:t>
      </w:r>
      <w:r>
        <w:rPr>
          <w:rFonts w:eastAsia="Arial Unicode MS"/>
          <w:sz w:val="24"/>
          <w:lang w:val="el-GR"/>
        </w:rPr>
        <w:t xml:space="preserve">, άλλως  </w:t>
      </w:r>
    </w:p>
    <w:p>
      <w:pPr>
        <w:pStyle w:val="Normal"/>
        <w:spacing w:lineRule="auto" w:line="276"/>
        <w:rPr/>
      </w:pPr>
      <w:r>
        <w:rPr>
          <w:rFonts w:eastAsia="Arial Unicode MS"/>
          <w:b/>
          <w:sz w:val="24"/>
          <w:lang w:val="el-GR"/>
        </w:rPr>
        <w:t>(γ) δέκα (10) ημέρες από την πλήρη, πραγματική ή τεκμαιρόμενη, γνώση της πράξης</w:t>
      </w:r>
      <w:r>
        <w:rPr>
          <w:rFonts w:eastAsia="Arial Unicode MS"/>
          <w:sz w:val="24"/>
          <w:lang w:val="el-GR"/>
        </w:rPr>
        <w:t xml:space="preserve"> </w:t>
      </w:r>
      <w:r>
        <w:rPr>
          <w:rFonts w:eastAsia="Arial Unicode MS"/>
          <w:b/>
          <w:sz w:val="24"/>
          <w:lang w:val="el-GR"/>
        </w:rPr>
        <w:t>που βλάπτει</w:t>
      </w:r>
      <w:r>
        <w:rPr>
          <w:rFonts w:eastAsia="Arial Unicode MS"/>
          <w:sz w:val="24"/>
          <w:lang w:val="el-GR"/>
        </w:rPr>
        <w:t xml:space="preserve">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pPr>
        <w:pStyle w:val="Normal"/>
        <w:spacing w:lineRule="auto" w:line="276"/>
        <w:rPr/>
      </w:pPr>
      <w:r>
        <w:rPr>
          <w:rFonts w:eastAsia="Arial Unicode MS"/>
          <w:b/>
          <w:sz w:val="24"/>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Style14"/>
          <w:rStyle w:val="Style14"/>
          <w:rFonts w:eastAsia="Arial Unicode MS" w:cs="Calibri"/>
          <w:sz w:val="24"/>
          <w:lang w:val="el-GR"/>
        </w:rPr>
        <w:footnoteReference w:id="76"/>
      </w:r>
      <w:r>
        <w:rPr>
          <w:rFonts w:eastAsia="Arial Unicode MS"/>
          <w:sz w:val="24"/>
          <w:lang w:val="el-GR"/>
        </w:rPr>
        <w:t>.</w:t>
      </w:r>
    </w:p>
    <w:p>
      <w:pPr>
        <w:pStyle w:val="Normal"/>
        <w:spacing w:lineRule="auto" w:line="276"/>
        <w:rPr/>
      </w:pPr>
      <w:r>
        <w:rPr>
          <w:rFonts w:eastAsia="Arial Unicode MS"/>
          <w:b/>
          <w:sz w:val="24"/>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r>
        <w:rPr>
          <w:rStyle w:val="Style14"/>
          <w:rStyle w:val="Style14"/>
          <w:rFonts w:eastAsia="Arial Unicode MS" w:cs="Calibri"/>
          <w:b/>
          <w:sz w:val="24"/>
          <w:lang w:val="el-GR"/>
        </w:rPr>
        <w:footnoteReference w:id="77"/>
      </w:r>
      <w:r>
        <w:rPr>
          <w:rFonts w:eastAsia="Arial Unicode MS"/>
          <w:b/>
          <w:sz w:val="24"/>
          <w:lang w:val="el-GR"/>
        </w:rPr>
        <w:t>.</w:t>
      </w:r>
    </w:p>
    <w:p>
      <w:pPr>
        <w:pStyle w:val="Normal"/>
        <w:spacing w:lineRule="auto" w:line="276"/>
        <w:rPr>
          <w:rFonts w:eastAsia="Arial Unicode MS"/>
          <w:b/>
          <w:b/>
          <w:sz w:val="24"/>
          <w:lang w:val="el-GR"/>
        </w:rPr>
      </w:pPr>
      <w:r>
        <w:rPr>
          <w:rFonts w:eastAsia="Arial Unicode MS"/>
          <w:b/>
          <w:sz w:val="24"/>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pPr>
        <w:pStyle w:val="Normal"/>
        <w:spacing w:lineRule="auto" w:line="276"/>
        <w:ind w:left="0" w:right="-164" w:hanging="0"/>
        <w:rPr/>
      </w:pPr>
      <w:r>
        <w:rPr>
          <w:rFonts w:eastAsia="Arial Unicode MS"/>
          <w:b/>
          <w:sz w:val="24"/>
          <w:u w:val="single"/>
          <w:lang w:val="el-GR"/>
        </w:rPr>
        <w:t>Για το παραδεκτό της άσκησης της προδικαστικής προσφυγής κατατίθεται παράβολο</w:t>
      </w:r>
      <w:r>
        <w:rPr>
          <w:rFonts w:eastAsia="Arial Unicode MS"/>
          <w:sz w:val="24"/>
          <w:lang w:val="el-GR"/>
        </w:rPr>
        <w:t xml:space="preserve"> από τον προσφεύγοντα υπέρ του Ελληνικού Δημοσίου, σύμφωνα με όσα ορίζονται στο άρθρο 363 Ν. 4412/2016. </w:t>
      </w:r>
    </w:p>
    <w:p>
      <w:pPr>
        <w:pStyle w:val="Normal"/>
        <w:spacing w:lineRule="auto" w:line="276"/>
        <w:ind w:left="0" w:right="-164" w:hanging="0"/>
        <w:rPr>
          <w:rFonts w:eastAsia="Arial Unicode MS"/>
          <w:b/>
          <w:b/>
          <w:sz w:val="24"/>
          <w:lang w:val="el-GR"/>
        </w:rPr>
      </w:pPr>
      <w:r>
        <w:rPr>
          <w:rFonts w:eastAsia="Arial Unicode MS"/>
          <w:b/>
          <w:sz w:val="24"/>
          <w:lang w:val="el-GR"/>
        </w:rPr>
        <w:t xml:space="preserve">Η επιστροφή του παραβόλου στον προσφεύγοντα γίνεται: </w:t>
      </w:r>
    </w:p>
    <w:p>
      <w:pPr>
        <w:pStyle w:val="Normal"/>
        <w:spacing w:lineRule="auto" w:line="276"/>
        <w:rPr/>
      </w:pPr>
      <w:r>
        <w:rPr>
          <w:rFonts w:eastAsia="Arial Unicode MS"/>
          <w:b/>
          <w:sz w:val="24"/>
          <w:lang w:val="el-GR"/>
        </w:rPr>
        <w:t>α)</w:t>
      </w:r>
      <w:r>
        <w:rPr>
          <w:rFonts w:eastAsia="Arial Unicode MS"/>
          <w:sz w:val="24"/>
          <w:lang w:val="el-GR"/>
        </w:rPr>
        <w:t xml:space="preserve"> σε περίπτωση ολικής ή μερικής αποδοχής της προσφυγής του, </w:t>
      </w:r>
    </w:p>
    <w:p>
      <w:pPr>
        <w:pStyle w:val="Normal"/>
        <w:spacing w:lineRule="auto" w:line="276"/>
        <w:rPr/>
      </w:pPr>
      <w:r>
        <w:rPr>
          <w:rFonts w:eastAsia="Arial Unicode MS"/>
          <w:b/>
          <w:sz w:val="24"/>
          <w:lang w:val="el-GR"/>
        </w:rPr>
        <w:t>β)</w:t>
      </w:r>
      <w:r>
        <w:rPr>
          <w:rFonts w:eastAsia="Arial Unicode MS"/>
          <w:sz w:val="24"/>
          <w:lang w:val="el-GR"/>
        </w:rPr>
        <w:t xml:space="preserve">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w:t>
      </w:r>
    </w:p>
    <w:p>
      <w:pPr>
        <w:pStyle w:val="Normal"/>
        <w:spacing w:lineRule="auto" w:line="276"/>
        <w:rPr/>
      </w:pPr>
      <w:r>
        <w:rPr>
          <w:rFonts w:eastAsia="Arial Unicode MS"/>
          <w:b/>
          <w:sz w:val="24"/>
          <w:lang w:val="el-GR"/>
        </w:rPr>
        <w:t>γ)</w:t>
      </w:r>
      <w:r>
        <w:rPr>
          <w:rFonts w:eastAsia="Arial Unicode MS"/>
          <w:sz w:val="24"/>
          <w:lang w:val="el-GR"/>
        </w:rPr>
        <w:t xml:space="preserve"> σε περίπτωση παραίτησης του προσφεύγοντα από την προσφυγή του έως και δέκα (10) ημέρες από την κατάθεση της προσφυγής. </w:t>
      </w:r>
    </w:p>
    <w:p>
      <w:pPr>
        <w:pStyle w:val="Normal"/>
        <w:spacing w:lineRule="auto" w:line="276"/>
        <w:rPr>
          <w:rFonts w:eastAsia="Arial Unicode MS"/>
          <w:sz w:val="24"/>
          <w:lang w:val="el-GR"/>
        </w:rPr>
      </w:pPr>
      <w:r>
        <w:rPr>
          <w:rFonts w:eastAsia="Arial Unicode MS"/>
          <w:sz w:val="24"/>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pPr>
        <w:pStyle w:val="Normal"/>
        <w:spacing w:lineRule="auto" w:line="276"/>
        <w:rPr/>
      </w:pPr>
      <w:r>
        <w:rPr>
          <w:rFonts w:eastAsia="Arial Unicode MS"/>
          <w:sz w:val="24"/>
          <w:u w:val="single"/>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r>
        <w:rPr>
          <w:rFonts w:eastAsia="Arial Unicode MS"/>
          <w:sz w:val="24"/>
          <w:lang w:val="el-GR"/>
        </w:rPr>
        <w:t>.</w:t>
      </w:r>
    </w:p>
    <w:p>
      <w:pPr>
        <w:pStyle w:val="Normal"/>
        <w:spacing w:lineRule="auto" w:line="276"/>
        <w:rPr/>
      </w:pPr>
      <w:r>
        <w:rPr>
          <w:rFonts w:eastAsia="Arial Unicode MS"/>
          <w:b/>
          <w:sz w:val="24"/>
          <w:lang w:val="el-GR"/>
        </w:rPr>
        <w:t>Μετά την, κατά τα ως άνω, ηλεκτρονική κατάθεση της προδικαστικής προσφυγής η αναθέτουσα αρχή,  μέσω της λειτουργίας «Επικοινωνία»</w:t>
      </w:r>
      <w:r>
        <w:rPr>
          <w:rFonts w:eastAsia="Arial Unicode MS"/>
          <w:sz w:val="24"/>
          <w:lang w:val="el-GR"/>
        </w:rPr>
        <w:t xml:space="preserve">: </w:t>
      </w:r>
    </w:p>
    <w:p>
      <w:pPr>
        <w:pStyle w:val="Normal"/>
        <w:spacing w:lineRule="auto" w:line="276"/>
        <w:rPr/>
      </w:pPr>
      <w:r>
        <w:rPr>
          <w:rFonts w:eastAsia="Arial Unicode MS"/>
          <w:b/>
          <w:sz w:val="24"/>
          <w:lang w:val="el-GR"/>
        </w:rPr>
        <w:t>α)</w:t>
      </w:r>
      <w:r>
        <w:rPr>
          <w:rFonts w:eastAsia="Arial Unicode MS"/>
          <w:sz w:val="24"/>
          <w:lang w:val="el-GR"/>
        </w:rPr>
        <w:t xml:space="preserve"> </w:t>
      </w:r>
      <w:r>
        <w:rPr>
          <w:rFonts w:eastAsia="Arial Unicode MS"/>
          <w:b/>
          <w:sz w:val="24"/>
          <w:lang w:val="el-GR"/>
        </w:rPr>
        <w:t>Κοινοποιεί την προσφυγή</w:t>
      </w:r>
      <w:r>
        <w:rPr>
          <w:rFonts w:eastAsia="Arial Unicode MS"/>
          <w:sz w:val="24"/>
          <w:lang w:val="el-GR"/>
        </w:rPr>
        <w:t xml:space="preserve"> το αργότερο έως την επομένη εργάσιμη ημέρα από την κατάθεσή της </w:t>
      </w:r>
      <w:r>
        <w:rPr>
          <w:rFonts w:eastAsia="Arial Unicode MS"/>
          <w:b/>
          <w:sz w:val="24"/>
          <w:lang w:val="el-GR"/>
        </w:rPr>
        <w:t>σε κάθε ενδιαφερόμενο τρίτο</w:t>
      </w:r>
      <w:r>
        <w:rPr>
          <w:rFonts w:eastAsia="Arial Unicode MS"/>
          <w:sz w:val="24"/>
          <w:lang w:val="el-GR"/>
        </w:rPr>
        <w:t>,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pPr>
        <w:pStyle w:val="Normal"/>
        <w:spacing w:lineRule="auto" w:line="276"/>
        <w:rPr/>
      </w:pPr>
      <w:r>
        <w:rPr>
          <w:rFonts w:eastAsia="Arial Unicode MS"/>
          <w:b/>
          <w:sz w:val="24"/>
          <w:lang w:val="el-GR"/>
        </w:rPr>
        <w:t>β)</w:t>
      </w:r>
      <w:r>
        <w:rPr>
          <w:rFonts w:eastAsia="Arial Unicode MS"/>
          <w:sz w:val="24"/>
          <w:lang w:val="el-GR"/>
        </w:rPr>
        <w:t xml:space="preserve"> </w:t>
      </w:r>
      <w:r>
        <w:rPr>
          <w:rFonts w:eastAsia="Arial Unicode MS"/>
          <w:b/>
          <w:sz w:val="24"/>
          <w:lang w:val="el-GR"/>
        </w:rPr>
        <w:t>Διαβιβάζει στην Ε.Α.ΔΗ.ΣΥ</w:t>
      </w:r>
      <w:r>
        <w:rPr>
          <w:rFonts w:eastAsia="Arial Unicode MS"/>
          <w:sz w:val="24"/>
          <w:lang w:val="el-GR"/>
        </w:rPr>
        <w:t xml:space="preserve">, το αργότερο εντός δεκαπέντε (15) ημερών από την ημέρα κατάθεσης, </w:t>
      </w:r>
      <w:r>
        <w:rPr>
          <w:rFonts w:eastAsia="Arial Unicode MS"/>
          <w:b/>
          <w:sz w:val="24"/>
          <w:lang w:val="el-GR"/>
        </w:rPr>
        <w:t>τον πλήρη φάκελο της υπόθεσης</w:t>
      </w:r>
      <w:r>
        <w:rPr>
          <w:rFonts w:eastAsia="Arial Unicode MS"/>
          <w:sz w:val="24"/>
          <w:lang w:val="el-GR"/>
        </w:rPr>
        <w:t>,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pPr>
        <w:pStyle w:val="Normal"/>
        <w:spacing w:lineRule="auto" w:line="276"/>
        <w:rPr/>
      </w:pPr>
      <w:r>
        <w:rPr>
          <w:rFonts w:eastAsia="Arial Unicode MS"/>
          <w:b/>
          <w:sz w:val="24"/>
          <w:lang w:val="el-GR"/>
        </w:rPr>
        <w:t>γ)</w:t>
      </w:r>
      <w:r>
        <w:rPr>
          <w:rFonts w:eastAsia="Arial Unicode MS"/>
          <w:sz w:val="24"/>
          <w:lang w:val="el-GR"/>
        </w:rPr>
        <w:t xml:space="preserve"> </w:t>
      </w:r>
      <w:r>
        <w:rPr>
          <w:rFonts w:eastAsia="Arial Unicode MS"/>
          <w:b/>
          <w:sz w:val="24"/>
          <w:lang w:val="el-GR"/>
        </w:rPr>
        <w:t>Κοινοποιεί σε όλα τα μέρη την Έκθεση Απόψεων</w:t>
      </w:r>
      <w:r>
        <w:rPr>
          <w:rFonts w:eastAsia="Arial Unicode MS"/>
          <w:sz w:val="24"/>
          <w:lang w:val="el-GR"/>
        </w:rPr>
        <w:t>,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pPr>
        <w:pStyle w:val="Normal"/>
        <w:spacing w:lineRule="auto" w:line="276"/>
        <w:rPr/>
      </w:pPr>
      <w:r>
        <w:rPr>
          <w:rFonts w:eastAsia="Arial Unicode MS"/>
          <w:b/>
          <w:sz w:val="24"/>
          <w:lang w:val="el-GR"/>
        </w:rPr>
        <w:t>δ) Συμπληρωματικά υπομνήματα</w:t>
      </w:r>
      <w:r>
        <w:rPr>
          <w:rFonts w:eastAsia="Arial Unicode MS"/>
          <w:sz w:val="24"/>
          <w:lang w:val="el-GR"/>
        </w:rPr>
        <w:t xml:space="preserve">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pPr>
        <w:pStyle w:val="Normal"/>
        <w:spacing w:lineRule="auto" w:line="276"/>
        <w:rPr/>
      </w:pPr>
      <w:r>
        <w:rPr>
          <w:rFonts w:eastAsia="Arial Unicode MS"/>
          <w:sz w:val="24"/>
          <w:u w:val="single"/>
          <w:lang w:val="el-GR"/>
        </w:rPr>
        <w:t>Η άσκηση της προδικαστικής προσφυγής αποτελεί προϋπόθεση για την άσκηση των ένδικων βοηθημάτων</w:t>
      </w:r>
      <w:r>
        <w:rPr>
          <w:rFonts w:eastAsia="Arial Unicode MS"/>
          <w:sz w:val="24"/>
          <w:lang w:val="el-GR"/>
        </w:rPr>
        <w:t xml:space="preserve"> της αίτησης αναστολής και της αίτησης ακύρωσης του άρθρου 372 ν. 4412/2016 κατά των εκτελεστών πράξεων ή παραλείψεων της αναθέτουσας αρχής.</w:t>
      </w:r>
    </w:p>
    <w:p>
      <w:pPr>
        <w:pStyle w:val="Normal"/>
        <w:spacing w:lineRule="auto" w:line="276"/>
        <w:rPr/>
      </w:pPr>
      <w:r>
        <w:rPr>
          <w:rFonts w:eastAsia="Arial Unicode MS"/>
          <w:b/>
          <w:sz w:val="24"/>
          <w:lang w:val="el-GR"/>
        </w:rPr>
        <w:t>Β.</w:t>
      </w:r>
      <w:r>
        <w:rPr>
          <w:rFonts w:eastAsia="Arial Unicode MS"/>
          <w:sz w:val="24"/>
          <w:lang w:val="el-GR"/>
        </w:rPr>
        <w:t xml:space="preserve"> Όποιος έχει έννομο συμφέρον μπορεί να ζητήσει, με το ίδιο δικόγραφο εφαρμοζόμενων αναλογικά των διατάξεων του π.δ. 18/1989, την αναστολή της εκτέλεσης της απόφασης της Ε.Α.ΔΗ.ΣΥ και την ακύρωσή της ενώπιον του αρμοδίου Διοικητικού Εφετείου Αθηνών</w:t>
      </w:r>
      <w:r>
        <w:rPr>
          <w:rStyle w:val="Style14"/>
          <w:rStyle w:val="Style14"/>
          <w:rFonts w:eastAsia="Arial Unicode MS"/>
          <w:sz w:val="24"/>
          <w:lang w:val="el-GR"/>
        </w:rPr>
        <w:footnoteReference w:id="78"/>
      </w:r>
      <w:r>
        <w:rPr>
          <w:rFonts w:eastAsia="Arial Unicode MS"/>
          <w:sz w:val="24"/>
          <w:lang w:val="el-GR"/>
        </w:rPr>
        <w:t>.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pPr>
        <w:pStyle w:val="Normal"/>
        <w:spacing w:lineRule="auto" w:line="276"/>
        <w:rPr>
          <w:rFonts w:eastAsia="Arial Unicode MS"/>
          <w:sz w:val="24"/>
          <w:lang w:val="el-GR"/>
        </w:rPr>
      </w:pPr>
      <w:r>
        <w:rPr>
          <w:rFonts w:eastAsia="Arial Unicode MS"/>
          <w:sz w:val="24"/>
          <w:lang w:val="el-GR"/>
        </w:rPr>
        <w:t>Με την απόφαση της Ε.Α.ΔΗ.ΣΥ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pPr>
        <w:pStyle w:val="Normal"/>
        <w:spacing w:lineRule="auto" w:line="276"/>
        <w:rPr/>
      </w:pPr>
      <w:r>
        <w:rPr>
          <w:rFonts w:eastAsia="Arial Unicode MS"/>
          <w:sz w:val="24"/>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Style14"/>
          <w:rStyle w:val="Style14"/>
          <w:rFonts w:eastAsia="Arial Unicode MS" w:cs="Calibri"/>
          <w:sz w:val="24"/>
          <w:lang w:val="el-GR"/>
        </w:rPr>
        <w:footnoteReference w:id="79"/>
      </w:r>
    </w:p>
    <w:p>
      <w:pPr>
        <w:pStyle w:val="Normal"/>
        <w:spacing w:lineRule="auto" w:line="276"/>
        <w:rPr/>
      </w:pPr>
      <w:r>
        <w:rPr>
          <w:rFonts w:eastAsia="Arial Unicode MS"/>
          <w:sz w:val="24"/>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Pr>
          <w:rStyle w:val="Style14"/>
          <w:rStyle w:val="Style14"/>
          <w:rFonts w:eastAsia="Arial Unicode MS" w:cs="Calibri"/>
          <w:sz w:val="24"/>
          <w:lang w:val="el-GR"/>
        </w:rPr>
        <w:footnoteReference w:id="80"/>
      </w:r>
    </w:p>
    <w:p>
      <w:pPr>
        <w:pStyle w:val="Normal"/>
        <w:spacing w:lineRule="auto" w:line="276"/>
        <w:rPr>
          <w:rFonts w:eastAsia="Arial Unicode MS"/>
          <w:sz w:val="24"/>
          <w:lang w:val="el-GR"/>
        </w:rPr>
      </w:pPr>
      <w:r>
        <w:rPr>
          <w:rFonts w:eastAsia="Arial Unicode MS"/>
          <w:sz w:val="24"/>
          <w:lang w:val="el-GR"/>
        </w:rPr>
        <w:t>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pPr>
        <w:pStyle w:val="Normal"/>
        <w:spacing w:lineRule="auto" w:line="276"/>
        <w:rPr>
          <w:rFonts w:eastAsia="Arial Unicode MS"/>
          <w:sz w:val="24"/>
          <w:lang w:val="el-GR"/>
        </w:rPr>
      </w:pPr>
      <w:r>
        <w:rPr>
          <w:rFonts w:eastAsia="Arial Unicode MS"/>
          <w:sz w:val="24"/>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pPr>
        <w:pStyle w:val="Normal"/>
        <w:spacing w:lineRule="auto" w:line="276"/>
        <w:rPr/>
      </w:pPr>
      <w:r>
        <w:rPr>
          <w:rFonts w:eastAsia="Arial Unicode MS"/>
          <w:sz w:val="24"/>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rStyle w:val="Style14"/>
          <w:rStyle w:val="Style14"/>
          <w:rFonts w:eastAsia="Arial Unicode MS" w:cs="Calibri"/>
          <w:sz w:val="24"/>
          <w:lang w:val="el-GR"/>
        </w:rPr>
        <w:footnoteReference w:id="81"/>
      </w:r>
      <w:r>
        <w:rPr>
          <w:rFonts w:eastAsia="Arial Unicode MS"/>
          <w:sz w:val="24"/>
          <w:lang w:val="el-GR"/>
        </w:rPr>
        <w:t xml:space="preserve"> Για την άσκηση της αιτήσεως κατατίθεται παράβολο, σύμφωνα με τα ειδικότερα οριζόμενα στο άρθρο 372 παρ. 5 του Ν. 4412/2016.  </w:t>
      </w:r>
    </w:p>
    <w:p>
      <w:pPr>
        <w:pStyle w:val="Normal"/>
        <w:spacing w:lineRule="auto" w:line="276"/>
        <w:rPr>
          <w:rFonts w:eastAsia="Arial Unicode MS"/>
          <w:sz w:val="24"/>
          <w:lang w:val="el-GR"/>
        </w:rPr>
      </w:pPr>
      <w:r>
        <w:rPr>
          <w:rFonts w:eastAsia="Arial Unicode MS"/>
          <w:sz w:val="24"/>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pPr>
        <w:pStyle w:val="Normal"/>
        <w:spacing w:lineRule="auto" w:line="276"/>
        <w:rPr>
          <w:rFonts w:eastAsia="Arial Unicode MS"/>
          <w:sz w:val="24"/>
          <w:lang w:val="el-GR"/>
        </w:rPr>
      </w:pPr>
      <w:r>
        <w:rPr>
          <w:rFonts w:eastAsia="Arial Unicode MS"/>
          <w:sz w:val="24"/>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pPr>
        <w:pStyle w:val="Normal"/>
        <w:spacing w:lineRule="auto" w:line="276"/>
        <w:rPr/>
      </w:pPr>
      <w:r>
        <w:rPr>
          <w:rFonts w:eastAsia="Arial Unicode MS"/>
          <w:sz w:val="24"/>
          <w:lang w:val="el-GR"/>
        </w:rPr>
        <w:t>Με την επιφύλαξη των διατάξεων του ν. 4412/2016, για την εκδίκαση των διαφορών του παρόντος άρθρου εφαρμόζονται οι διατάξεις του π.δ. 18/1989</w:t>
      </w:r>
      <w:r>
        <w:rPr>
          <w:sz w:val="24"/>
          <w:lang w:val="el-GR"/>
        </w:rPr>
        <w:t>.</w:t>
      </w:r>
    </w:p>
    <w:p>
      <w:pPr>
        <w:pStyle w:val="Normal"/>
        <w:spacing w:lineRule="auto" w:line="276"/>
        <w:rPr>
          <w:sz w:val="24"/>
          <w:lang w:val="el-GR"/>
        </w:rPr>
      </w:pPr>
      <w:r>
        <w:rPr>
          <w:sz w:val="24"/>
          <w:lang w:val="el-GR"/>
        </w:rPr>
      </w:r>
    </w:p>
    <w:p>
      <w:pPr>
        <w:pStyle w:val="2"/>
        <w:spacing w:lineRule="auto" w:line="276" w:before="0" w:after="0"/>
        <w:ind w:left="207" w:right="0" w:hanging="567"/>
        <w:rPr>
          <w:rFonts w:ascii="Calibri" w:hAnsi="Calibri" w:eastAsia="Arial Unicode MS" w:cs="Calibri"/>
          <w:sz w:val="24"/>
          <w:szCs w:val="24"/>
          <w:lang w:val="el-GR"/>
        </w:rPr>
      </w:pPr>
      <w:bookmarkStart w:id="144" w:name="__RefHeading___Toc35625_1890191151"/>
      <w:bookmarkStart w:id="145" w:name="_Toc492539478"/>
      <w:bookmarkStart w:id="146" w:name="_Toc127963080"/>
      <w:bookmarkEnd w:id="144"/>
      <w:r>
        <w:rPr>
          <w:rFonts w:eastAsia="Arial Unicode MS" w:cs="Calibri" w:ascii="Calibri" w:hAnsi="Calibri"/>
          <w:sz w:val="24"/>
          <w:szCs w:val="24"/>
          <w:lang w:val="el-GR"/>
        </w:rPr>
        <w:t>3.5</w:t>
        <w:tab/>
        <w:t>Ματαίωση Διαδικασίας</w:t>
      </w:r>
      <w:bookmarkEnd w:id="145"/>
      <w:bookmarkEnd w:id="146"/>
    </w:p>
    <w:p>
      <w:pPr>
        <w:pStyle w:val="Normal"/>
        <w:spacing w:lineRule="auto" w:line="276" w:before="120" w:after="0"/>
        <w:rPr/>
      </w:pPr>
      <w:r>
        <w:rPr>
          <w:rFonts w:eastAsia="Arial Unicode MS"/>
          <w:sz w:val="24"/>
          <w:lang w:val="el-GR"/>
        </w:rPr>
        <w:t xml:space="preserve">Η αναθέτουσα αρχή </w:t>
      </w:r>
      <w:r>
        <w:rPr>
          <w:rFonts w:eastAsia="Arial Unicode MS"/>
          <w:b/>
          <w:sz w:val="24"/>
          <w:lang w:val="el-GR"/>
        </w:rPr>
        <w:t>ματαιώνει ή δύναται να ματαιώσει</w:t>
      </w:r>
      <w:r>
        <w:rPr>
          <w:rFonts w:eastAsia="Arial Unicode MS"/>
          <w:sz w:val="24"/>
          <w:lang w:val="el-GR"/>
        </w:rPr>
        <w:t xml:space="preserve"> εν όλω ή εν μέρει, αιτιολογημένα, τη διαδικασία ανάθεσης, για τους λόγους και υπό τους όρους του </w:t>
      </w:r>
      <w:r>
        <w:rPr>
          <w:rFonts w:eastAsia="Arial Unicode MS"/>
          <w:b/>
          <w:sz w:val="24"/>
          <w:lang w:val="el-GR"/>
        </w:rPr>
        <w:t>άρθρου 106 του ν. 4412/2016</w:t>
      </w:r>
      <w:r>
        <w:rPr>
          <w:rFonts w:eastAsia="Arial Unicode MS"/>
          <w:sz w:val="24"/>
          <w:lang w:val="el-GR"/>
        </w:rPr>
        <w:t xml:space="preserve">, </w:t>
      </w:r>
      <w:r>
        <w:rPr>
          <w:rFonts w:eastAsia="Arial Unicode MS"/>
          <w:b/>
          <w:sz w:val="24"/>
          <w:lang w:val="el-GR"/>
        </w:rPr>
        <w:t>μετά από γνώμη της αρμόδιας Επιτροπής του Διαγωνισμού</w:t>
      </w:r>
      <w:r>
        <w:rPr>
          <w:rFonts w:eastAsia="Arial Unicode MS"/>
          <w:sz w:val="24"/>
          <w:lang w:val="el-GR"/>
        </w:rPr>
        <w:t xml:space="preserve">. Επίσης, αν διαπιστωθούν </w:t>
      </w:r>
      <w:r>
        <w:rPr>
          <w:rFonts w:eastAsia="Arial Unicode MS"/>
          <w:b/>
          <w:sz w:val="24"/>
          <w:lang w:val="el-GR"/>
        </w:rPr>
        <w:t>σφάλματα ή παραλείψεις</w:t>
      </w:r>
      <w:r>
        <w:rPr>
          <w:rFonts w:eastAsia="Arial Unicode MS"/>
          <w:sz w:val="24"/>
          <w:lang w:val="el-GR"/>
        </w:rPr>
        <w:t xml:space="preserve">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pPr>
        <w:pStyle w:val="Normal"/>
        <w:spacing w:lineRule="auto" w:line="276" w:before="120" w:after="0"/>
        <w:rPr/>
      </w:pPr>
      <w:r>
        <w:rPr>
          <w:rFonts w:eastAsia="Arial Unicode MS"/>
          <w:sz w:val="24"/>
          <w:lang w:val="el-GR"/>
        </w:rPr>
        <w:t xml:space="preserve">Ειδικότερα, η αναθέτουσα αρχή ματαιώνει τη διαδικασία σύναψης </w:t>
      </w:r>
      <w:r>
        <w:rPr>
          <w:rFonts w:eastAsia="Arial Unicode MS"/>
          <w:b/>
          <w:sz w:val="24"/>
          <w:lang w:val="el-GR"/>
        </w:rPr>
        <w:t>όταν αυτή αποβεί άγονη είτε λόγω μη υποβολής προσφοράς είτε λόγω απόρριψης όλων των προσφορών</w:t>
      </w:r>
      <w:r>
        <w:rPr>
          <w:rFonts w:eastAsia="Arial Unicode MS"/>
          <w:sz w:val="24"/>
          <w:lang w:val="el-GR"/>
        </w:rPr>
        <w:t>, καθώς και στην περίπτωση του δευτέρου εδαφίου της παρ. 7 του άρθρου 105, περί κατακύρωσης και σύναψης σύμβασης.</w:t>
      </w:r>
    </w:p>
    <w:p>
      <w:pPr>
        <w:pStyle w:val="Normal"/>
        <w:spacing w:lineRule="auto" w:line="276" w:before="120" w:after="0"/>
        <w:rPr/>
      </w:pPr>
      <w:r>
        <w:rPr>
          <w:rFonts w:eastAsia="Arial Unicode MS"/>
          <w:sz w:val="24"/>
          <w:lang w:val="el-GR"/>
        </w:rPr>
        <w:t xml:space="preserve">Επίσης μπορεί να ματαιώσει τη διαδικασία: α) λόγω </w:t>
      </w:r>
      <w:r>
        <w:rPr>
          <w:rFonts w:eastAsia="Arial Unicode MS"/>
          <w:b/>
          <w:sz w:val="24"/>
          <w:lang w:val="el-GR"/>
        </w:rPr>
        <w:t>παράτυπης διεξαγωγής της διαδικασίας</w:t>
      </w:r>
      <w:r>
        <w:rPr>
          <w:rFonts w:eastAsia="Arial Unicode MS"/>
          <w:sz w:val="24"/>
          <w:lang w:val="el-GR"/>
        </w:rPr>
        <w:t xml:space="preserve"> ανάθεσης, εκτός εάν μπορεί να θεραπεύσει το σφάλμα ή την παράλειψη σύμφωνα με την παρ. 3 του άρθρου 106, β) αν οι οικονομικές και τεχνικές </w:t>
      </w:r>
      <w:r>
        <w:rPr>
          <w:rFonts w:eastAsia="Arial Unicode MS"/>
          <w:b/>
          <w:sz w:val="24"/>
          <w:lang w:val="el-GR"/>
        </w:rPr>
        <w:t>παράμετροι</w:t>
      </w:r>
      <w:r>
        <w:rPr>
          <w:rFonts w:eastAsia="Arial Unicode MS"/>
          <w:sz w:val="24"/>
          <w:lang w:val="el-GR"/>
        </w:rPr>
        <w:t xml:space="preserve"> που σχετίζονται με τη διαδικασία ανάθεσης </w:t>
      </w:r>
      <w:r>
        <w:rPr>
          <w:rFonts w:eastAsia="Arial Unicode MS"/>
          <w:b/>
          <w:sz w:val="24"/>
          <w:lang w:val="el-GR"/>
        </w:rPr>
        <w:t>άλλαξαν ουσιωδώς</w:t>
      </w:r>
      <w:r>
        <w:rPr>
          <w:rFonts w:eastAsia="Arial Unicode MS"/>
          <w:sz w:val="24"/>
          <w:lang w:val="el-GR"/>
        </w:rPr>
        <w:t xml:space="preserve">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w:t>
      </w:r>
      <w:r>
        <w:rPr>
          <w:rFonts w:eastAsia="Arial Unicode MS"/>
          <w:b/>
          <w:sz w:val="24"/>
          <w:lang w:val="el-GR"/>
        </w:rPr>
        <w:t>λόγω ανωτέρας βίας</w:t>
      </w:r>
      <w:r>
        <w:rPr>
          <w:rFonts w:eastAsia="Arial Unicode MS"/>
          <w:sz w:val="24"/>
          <w:lang w:val="el-GR"/>
        </w:rPr>
        <w:t xml:space="preserve">,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w:t>
      </w:r>
      <w:r>
        <w:rPr>
          <w:rFonts w:eastAsia="Arial Unicode MS"/>
          <w:b/>
          <w:sz w:val="24"/>
          <w:lang w:val="el-GR"/>
        </w:rPr>
        <w:t>περί χρόνου ισχύος προσφορών</w:t>
      </w:r>
      <w:r>
        <w:rPr>
          <w:rFonts w:eastAsia="Arial Unicode MS"/>
          <w:sz w:val="24"/>
          <w:lang w:val="el-GR"/>
        </w:rPr>
        <w:t xml:space="preserve">, στ) για άλλους επιτακτικούς λόγους δημοσίου συμφέροντος, όπως ιδίως, δημόσιας υγείας ή προστασίας του περιβάλλοντος. </w:t>
      </w:r>
    </w:p>
    <w:p>
      <w:pPr>
        <w:pStyle w:val="1"/>
        <w:spacing w:lineRule="auto" w:line="276" w:before="0" w:after="0"/>
        <w:rPr/>
      </w:pPr>
      <w:bookmarkStart w:id="147" w:name="__RefHeading___Toc35627_1890191151"/>
      <w:bookmarkStart w:id="148" w:name="_Toc127963081"/>
      <w:bookmarkEnd w:id="147"/>
      <w:r>
        <w:rPr>
          <w:rFonts w:eastAsia="Arial Unicode MS" w:cs="Calibri" w:ascii="Calibri" w:hAnsi="Calibri"/>
          <w:sz w:val="24"/>
          <w:szCs w:val="24"/>
          <w:lang w:val="el-GR"/>
        </w:rPr>
        <w:t>4.</w:t>
        <w:tab/>
        <w:t>ΟΡΟΙ ΕΚΤΕΛΕΣΗΣ ΤΗΣ ΣΥΜΒΑΣΗΣ</w:t>
      </w:r>
      <w:bookmarkEnd w:id="148"/>
      <w:r>
        <w:rPr>
          <w:rFonts w:eastAsia="Arial Unicode MS" w:cs="Calibri" w:ascii="Calibri" w:hAnsi="Calibri"/>
          <w:sz w:val="24"/>
          <w:szCs w:val="24"/>
          <w:lang w:val="el-GR"/>
        </w:rPr>
        <w:t xml:space="preserve"> </w:t>
      </w:r>
    </w:p>
    <w:p>
      <w:pPr>
        <w:pStyle w:val="2"/>
        <w:spacing w:lineRule="auto" w:line="276" w:before="0" w:after="0"/>
        <w:ind w:left="567" w:right="0" w:hanging="567"/>
        <w:rPr>
          <w:rFonts w:ascii="Calibri" w:hAnsi="Calibri"/>
          <w:sz w:val="24"/>
          <w:szCs w:val="24"/>
          <w:lang w:val="el-GR"/>
        </w:rPr>
      </w:pPr>
      <w:r>
        <w:rPr>
          <w:rFonts w:ascii="Calibri" w:hAnsi="Calibri"/>
          <w:sz w:val="24"/>
          <w:szCs w:val="24"/>
          <w:lang w:val="el-GR"/>
        </w:rPr>
      </w:r>
      <w:bookmarkStart w:id="149" w:name="_Toc492539479"/>
      <w:bookmarkStart w:id="150" w:name="_Toc492539479"/>
      <w:bookmarkEnd w:id="150"/>
    </w:p>
    <w:p>
      <w:pPr>
        <w:pStyle w:val="2"/>
        <w:spacing w:lineRule="auto" w:line="276" w:before="0" w:after="0"/>
        <w:ind w:left="567" w:right="0" w:hanging="0"/>
        <w:rPr/>
      </w:pPr>
      <w:bookmarkStart w:id="151" w:name="__RefHeading___Toc35629_1890191151"/>
      <w:bookmarkStart w:id="152" w:name="_Toc75718000"/>
      <w:bookmarkStart w:id="153" w:name="_Toc4925394791"/>
      <w:bookmarkStart w:id="154" w:name="_Toc127963082"/>
      <w:bookmarkEnd w:id="151"/>
      <w:bookmarkEnd w:id="153"/>
      <w:bookmarkEnd w:id="154"/>
      <w:r>
        <w:rPr>
          <w:rFonts w:eastAsia="Arial Unicode MS" w:cs="Tahoma" w:ascii="Calibri" w:hAnsi="Calibri"/>
          <w:bCs/>
          <w:color w:val="333399"/>
          <w:sz w:val="24"/>
          <w:szCs w:val="24"/>
          <w:lang w:val="el-GR"/>
        </w:rPr>
        <w:t>4.1</w:t>
      </w:r>
      <w:r>
        <w:rPr>
          <w:rFonts w:eastAsia="Arial Unicode MS" w:cs="Tahoma" w:ascii="Calibri" w:hAnsi="Calibri"/>
          <w:b w:val="false"/>
          <w:sz w:val="24"/>
          <w:szCs w:val="24"/>
          <w:lang w:val="el-GR"/>
        </w:rPr>
        <w:tab/>
      </w:r>
      <w:r>
        <w:rPr>
          <w:rFonts w:eastAsia="Arial Unicode MS" w:cs="Tahoma" w:ascii="Calibri" w:hAnsi="Calibri"/>
          <w:sz w:val="24"/>
          <w:szCs w:val="24"/>
          <w:lang w:val="el-GR"/>
        </w:rPr>
        <w:t>Εγγυήσεις (καλής εκτέλεσης, προκαταβολής)</w:t>
      </w:r>
      <w:bookmarkEnd w:id="152"/>
    </w:p>
    <w:p>
      <w:pPr>
        <w:pStyle w:val="Normal"/>
        <w:spacing w:lineRule="auto" w:line="276" w:before="0" w:after="0"/>
        <w:rPr>
          <w:rFonts w:cs="Tahoma"/>
          <w:sz w:val="24"/>
          <w:lang w:val="el-GR"/>
        </w:rPr>
      </w:pPr>
      <w:r>
        <w:rPr>
          <w:rFonts w:cs="Tahoma"/>
          <w:sz w:val="24"/>
          <w:lang w:val="el-GR"/>
        </w:rPr>
        <w:t xml:space="preserve">Εγγύηση καλής εκτέλεσης και εγγύηση προκαταβολής: </w:t>
      </w:r>
    </w:p>
    <w:p>
      <w:pPr>
        <w:pStyle w:val="Normal"/>
        <w:spacing w:lineRule="auto" w:line="276" w:before="0" w:after="0"/>
        <w:rPr/>
      </w:pPr>
      <w:r>
        <w:rPr>
          <w:rFonts w:cs="Tahoma"/>
          <w:b/>
          <w:sz w:val="24"/>
          <w:u w:val="single"/>
          <w:lang w:val="el-GR"/>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w:t>
      </w:r>
      <w:r>
        <w:rPr>
          <w:rFonts w:cs="Tahoma"/>
          <w:sz w:val="24"/>
          <w:lang w:val="el-GR"/>
        </w:rPr>
        <w:t xml:space="preserve">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του συμφωνητικού. </w:t>
      </w:r>
    </w:p>
    <w:p>
      <w:pPr>
        <w:pStyle w:val="Normal"/>
        <w:spacing w:lineRule="auto" w:line="276" w:before="0" w:after="0"/>
        <w:rPr/>
      </w:pPr>
      <w:r>
        <w:rPr>
          <w:rFonts w:cs="Tahoma"/>
          <w:b/>
          <w:sz w:val="24"/>
          <w:lang w:val="el-GR"/>
        </w:rPr>
        <w:t>Η εγγύηση καλής εκτέλεσης, προκειμένου να γίνει αποδεκτή, πρέπει να περιλαμβάνει κατ' ελάχιστον τα αναφερόμενα στην παράγραφο 2.1.5</w:t>
      </w:r>
      <w:r>
        <w:rPr>
          <w:rFonts w:cs="Tahoma"/>
          <w:sz w:val="24"/>
          <w:lang w:val="el-GR"/>
        </w:rPr>
        <w:t xml:space="preserve">. στοιχεία της παρούσας </w:t>
      </w:r>
      <w:r>
        <w:rPr>
          <w:rFonts w:cs="Tahoma"/>
          <w:b/>
          <w:color w:val="000000"/>
          <w:sz w:val="24"/>
          <w:u w:val="single"/>
          <w:lang w:val="el-GR"/>
        </w:rPr>
        <w:t>και επιπλέον  τον τίτλο της σχετικής σύμβασης</w:t>
      </w:r>
      <w:r>
        <w:rPr>
          <w:rFonts w:cs="Tahoma"/>
          <w:color w:val="000000"/>
          <w:sz w:val="24"/>
          <w:lang w:val="el-GR"/>
        </w:rPr>
        <w:t xml:space="preserve"> .</w:t>
      </w:r>
    </w:p>
    <w:p>
      <w:pPr>
        <w:pStyle w:val="Normal"/>
        <w:spacing w:lineRule="auto" w:line="276" w:before="0" w:after="0"/>
        <w:rPr/>
      </w:pPr>
      <w:r>
        <w:rPr>
          <w:rFonts w:cs="Tahoma"/>
          <w:sz w:val="24"/>
          <w:lang w:val="el-GR"/>
        </w:rPr>
        <w:t xml:space="preserve">Το περιεχόμενό της είναι σύμφωνο με το υπόδειγμα που περιλαμβάνεται στο </w:t>
      </w:r>
      <w:r>
        <w:rPr>
          <w:rFonts w:cs="Tahoma"/>
          <w:b/>
          <w:sz w:val="24"/>
          <w:lang w:val="el-GR"/>
        </w:rPr>
        <w:t>Παράρτημα ΙΙΙ</w:t>
      </w:r>
      <w:r>
        <w:rPr>
          <w:rFonts w:cs="Tahoma"/>
          <w:sz w:val="24"/>
          <w:lang w:val="el-GR"/>
        </w:rPr>
        <w:t xml:space="preserve"> της Διακήρυξης και τα οριζόμενα στο άρθρο 72 του ν. 4412/2016.</w:t>
      </w:r>
    </w:p>
    <w:p>
      <w:pPr>
        <w:pStyle w:val="Normal"/>
        <w:spacing w:lineRule="auto" w:line="276" w:before="0" w:after="0"/>
        <w:rPr/>
      </w:pPr>
      <w:r>
        <w:rPr>
          <w:rFonts w:cs="Tahoma"/>
          <w:b/>
          <w:sz w:val="24"/>
          <w:lang w:val="el-GR"/>
        </w:rPr>
        <w:t>Η εγγύηση καλής εκτέλεσης της σύμβασης καλύπτει συνολικά και</w:t>
      </w:r>
      <w:r>
        <w:rPr>
          <w:rFonts w:cs="Tahoma"/>
          <w:sz w:val="24"/>
          <w:lang w:val="el-GR"/>
        </w:rPr>
        <w:t xml:space="preserve"> χωρίς διακρίσεις την εφαρμογή όλων των όρων της σύμβασης και κάθε απαίτηση της αναθέτουσας αρχής έναντι του αναδόχου.</w:t>
      </w:r>
    </w:p>
    <w:p>
      <w:pPr>
        <w:pStyle w:val="Normal"/>
        <w:spacing w:lineRule="auto" w:line="276" w:before="0" w:after="0"/>
        <w:rPr/>
      </w:pPr>
      <w:r>
        <w:rPr>
          <w:rFonts w:cs="Tahoma"/>
          <w:b/>
          <w:sz w:val="24"/>
          <w:lang w:val="el-GR"/>
        </w:rPr>
        <w:t>Σε περίπτωση τροποποίησης της σύμβασης κατά την παράγραφο 4.5</w:t>
      </w:r>
      <w:r>
        <w:rPr>
          <w:rFonts w:cs="Tahoma"/>
          <w:sz w:val="24"/>
          <w:lang w:val="el-GR"/>
        </w:rPr>
        <w:t xml:space="preserve">,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pPr>
        <w:pStyle w:val="Normal"/>
        <w:spacing w:lineRule="auto" w:line="276" w:before="0" w:after="0"/>
        <w:rPr/>
      </w:pPr>
      <w:r>
        <w:rPr>
          <w:rFonts w:cs="Tahoma"/>
          <w:b/>
          <w:sz w:val="24"/>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pPr>
        <w:pStyle w:val="Normal"/>
        <w:spacing w:lineRule="auto" w:line="276" w:before="0" w:after="0"/>
        <w:rPr>
          <w:rFonts w:cs="Tahoma"/>
          <w:b/>
          <w:b/>
          <w:sz w:val="24"/>
          <w:lang w:val="el-GR"/>
        </w:rPr>
      </w:pPr>
      <w:r>
        <w:rPr>
          <w:rFonts w:cs="Tahoma"/>
          <w:b/>
          <w:sz w:val="24"/>
          <w:lang w:val="el-GR"/>
        </w:rPr>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cs="Tahoma"/>
          <w:b/>
          <w:sz w:val="24"/>
          <w:lang w:val="el-GR"/>
        </w:rPr>
        <w:t xml:space="preserve">Ο χρόνος ισχύος της εγγύησης καλής εκτέλεσης πρέπει </w:t>
      </w:r>
      <w:r>
        <w:rPr>
          <w:rFonts w:cs="Tahoma"/>
          <w:b/>
          <w:sz w:val="24"/>
          <w:u w:val="single"/>
          <w:lang w:val="el-GR"/>
        </w:rPr>
        <w:t>να είναι μέχρι αυτή να επιστραφεί στον εκδότη ή μέχρις ότου ο εκδότης λάβει έγγραφη δήλωση της Αναθέτουσας Αρχής ότι μπορούν να θεωρήσουν την τράπεζα απαλλαγμένη από κάθε σχετική υποχρέωση.</w:t>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cs="Tahoma"/>
          <w:sz w:val="24"/>
          <w:lang w:val="el-GR"/>
        </w:rPr>
        <w:t xml:space="preserve">Οι εγγύηση/εις καλής εκτέλεσης επιστρέφεται/ονται στο σύνολό του/ς μετά από την ποσοτική και ποιοτική παραλαβή </w:t>
      </w:r>
      <w:r>
        <w:rPr>
          <w:rFonts w:cs="Tahoma"/>
          <w:b/>
          <w:sz w:val="24"/>
          <w:lang w:val="el-GR"/>
        </w:rPr>
        <w:t>του συνόλου του αντικειμένου της σύμβασης.</w:t>
      </w:r>
    </w:p>
    <w:p>
      <w:pPr>
        <w:pStyle w:val="Normal"/>
        <w:spacing w:lineRule="auto" w:line="276" w:before="0" w:after="0"/>
        <w:rPr>
          <w:rFonts w:eastAsia="Arial Unicode MS" w:cs="Tahoma"/>
          <w:b/>
          <w:b/>
          <w:sz w:val="24"/>
          <w:lang w:val="el-GR"/>
        </w:rPr>
      </w:pPr>
      <w:r>
        <w:rPr>
          <w:rFonts w:eastAsia="Arial Unicode MS" w:cs="Tahoma"/>
          <w:b/>
          <w:sz w:val="24"/>
          <w:lang w:val="el-GR"/>
        </w:rPr>
      </w:r>
    </w:p>
    <w:p>
      <w:pPr>
        <w:pStyle w:val="Normal"/>
        <w:spacing w:lineRule="auto" w:line="276" w:before="0" w:after="0"/>
        <w:rPr>
          <w:rFonts w:eastAsia="Arial Unicode MS" w:cs="Tahoma"/>
          <w:b/>
          <w:b/>
          <w:sz w:val="24"/>
          <w:lang w:val="el-GR"/>
        </w:rPr>
      </w:pPr>
      <w:r>
        <w:rPr>
          <w:rFonts w:eastAsia="Arial Unicode MS" w:cs="Tahoma"/>
          <w:b/>
          <w:sz w:val="24"/>
          <w:lang w:val="el-GR"/>
        </w:rPr>
        <w:t>Σε περίπτωση που στο πρωτόκολλο οριστικής και ποσοτικής παραλαβής αναφέρονται παρατηρήσεις ή υπάρχει εκπρόθεσμη παροχή,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w:t>
      </w:r>
    </w:p>
    <w:p>
      <w:pPr>
        <w:pStyle w:val="2"/>
        <w:spacing w:lineRule="auto" w:line="276" w:before="0" w:after="0"/>
        <w:ind w:left="207" w:right="0" w:hanging="207"/>
        <w:rPr>
          <w:rFonts w:ascii="Calibri" w:hAnsi="Calibri"/>
          <w:sz w:val="24"/>
          <w:szCs w:val="24"/>
          <w:lang w:val="el-GR"/>
        </w:rPr>
      </w:pPr>
      <w:r>
        <w:rPr>
          <w:rFonts w:ascii="Calibri" w:hAnsi="Calibri"/>
          <w:sz w:val="24"/>
          <w:szCs w:val="24"/>
          <w:lang w:val="el-GR"/>
        </w:rPr>
      </w:r>
    </w:p>
    <w:p>
      <w:pPr>
        <w:pStyle w:val="2"/>
        <w:spacing w:lineRule="auto" w:line="276" w:before="0" w:after="0"/>
        <w:ind w:left="207" w:right="0" w:hanging="567"/>
        <w:rPr>
          <w:rFonts w:ascii="Calibri" w:hAnsi="Calibri" w:eastAsia="Arial Unicode MS" w:cs="Calibri"/>
          <w:sz w:val="24"/>
          <w:szCs w:val="24"/>
          <w:lang w:val="el-GR"/>
        </w:rPr>
      </w:pPr>
      <w:bookmarkStart w:id="155" w:name="__RefHeading___Toc35631_1890191151"/>
      <w:bookmarkStart w:id="156" w:name="_Toc127963083"/>
      <w:bookmarkStart w:id="157" w:name="_Toc492539480"/>
      <w:bookmarkEnd w:id="155"/>
      <w:r>
        <w:rPr>
          <w:rFonts w:eastAsia="Arial Unicode MS" w:cs="Calibri" w:ascii="Calibri" w:hAnsi="Calibri"/>
          <w:sz w:val="24"/>
          <w:szCs w:val="24"/>
          <w:lang w:val="el-GR"/>
        </w:rPr>
        <w:t xml:space="preserve">4.2 </w:t>
        <w:tab/>
        <w:t>Συμβατικό Πλαίσιο – Εφαρμοστέα Νομοθεσία</w:t>
      </w:r>
      <w:bookmarkEnd w:id="156"/>
      <w:bookmarkEnd w:id="157"/>
    </w:p>
    <w:p>
      <w:pPr>
        <w:pStyle w:val="Normal"/>
        <w:spacing w:lineRule="auto" w:line="276" w:before="120" w:after="0"/>
        <w:rPr>
          <w:rFonts w:eastAsia="Arial Unicode MS"/>
          <w:sz w:val="24"/>
          <w:lang w:val="el-GR"/>
        </w:rPr>
      </w:pPr>
      <w:r>
        <w:rPr>
          <w:rFonts w:eastAsia="Arial Unicode MS"/>
          <w:sz w:val="24"/>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pPr>
        <w:pStyle w:val="Normal"/>
        <w:spacing w:lineRule="auto" w:line="276" w:before="0" w:after="0"/>
        <w:rPr>
          <w:rFonts w:eastAsia="Arial Unicode MS"/>
          <w:sz w:val="24"/>
          <w:lang w:val="el-GR"/>
        </w:rPr>
      </w:pPr>
      <w:r>
        <w:rPr>
          <w:rFonts w:eastAsia="Arial Unicode MS"/>
          <w:sz w:val="24"/>
          <w:lang w:val="el-GR"/>
        </w:rPr>
      </w:r>
    </w:p>
    <w:p>
      <w:pPr>
        <w:pStyle w:val="2"/>
        <w:spacing w:lineRule="auto" w:line="276" w:before="0" w:after="0"/>
        <w:ind w:left="207" w:right="0" w:hanging="567"/>
        <w:rPr>
          <w:rFonts w:ascii="Calibri" w:hAnsi="Calibri" w:eastAsia="Arial Unicode MS" w:cs="Calibri"/>
          <w:sz w:val="24"/>
          <w:szCs w:val="24"/>
          <w:lang w:val="el-GR"/>
        </w:rPr>
      </w:pPr>
      <w:bookmarkStart w:id="158" w:name="__RefHeading___Toc35633_1890191151"/>
      <w:bookmarkStart w:id="159" w:name="_Toc492539481"/>
      <w:bookmarkStart w:id="160" w:name="_Toc127963084"/>
      <w:bookmarkEnd w:id="158"/>
      <w:r>
        <w:rPr>
          <w:rFonts w:eastAsia="Arial Unicode MS" w:cs="Calibri" w:ascii="Calibri" w:hAnsi="Calibri"/>
          <w:sz w:val="24"/>
          <w:szCs w:val="24"/>
          <w:lang w:val="el-GR"/>
        </w:rPr>
        <w:t>4.3</w:t>
        <w:tab/>
        <w:t>Όροι εκτέλεσης της σύμβασης</w:t>
      </w:r>
      <w:bookmarkEnd w:id="159"/>
      <w:bookmarkEnd w:id="160"/>
    </w:p>
    <w:p>
      <w:pPr>
        <w:pStyle w:val="Normal"/>
        <w:spacing w:lineRule="auto" w:line="276" w:before="120" w:after="0"/>
        <w:rPr/>
      </w:pPr>
      <w:r>
        <w:rPr>
          <w:rFonts w:eastAsia="Arial Unicode MS"/>
          <w:b/>
          <w:sz w:val="24"/>
          <w:lang w:val="el-GR"/>
        </w:rPr>
        <w:t>4.3.1</w:t>
      </w:r>
      <w:r>
        <w:rPr>
          <w:rFonts w:eastAsia="Arial Unicode MS"/>
          <w:sz w:val="24"/>
          <w:lang w:val="el-GR"/>
        </w:rPr>
        <w:t xml:space="preserve"> Κατά την εκτέλεση της σύμβασης ο ανάδοχος τηρεί:</w:t>
      </w:r>
    </w:p>
    <w:p>
      <w:pPr>
        <w:pStyle w:val="Normal"/>
        <w:numPr>
          <w:ilvl w:val="0"/>
          <w:numId w:val="7"/>
        </w:numPr>
        <w:spacing w:before="120" w:after="0"/>
        <w:ind w:left="720" w:right="0" w:hanging="0"/>
        <w:rPr/>
      </w:pPr>
      <w:r>
        <w:rPr>
          <w:rFonts w:eastAsia="Arial Unicode MS" w:cs="Calibri"/>
          <w:sz w:val="24"/>
          <w:szCs w:val="24"/>
        </w:rPr>
        <w:t>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fldChar w:fldCharType="begin"/>
      </w:r>
      <w:r>
        <w:rPr>
          <w:rStyle w:val="Style7"/>
          <w:sz w:val="24"/>
          <w:szCs w:val="24"/>
          <w:rFonts w:eastAsia="Arial Unicode MS" w:cs="Calibri"/>
        </w:rPr>
        <w:instrText> HYPERLINK "http://www.eaadhsy.gr/n4412/prosarthmaA_index.html" \l "pararthma_A_X"</w:instrText>
      </w:r>
      <w:r>
        <w:rPr>
          <w:rStyle w:val="Style7"/>
          <w:sz w:val="24"/>
          <w:szCs w:val="24"/>
          <w:rFonts w:eastAsia="Arial Unicode MS" w:cs="Calibri"/>
        </w:rPr>
        <w:fldChar w:fldCharType="separate"/>
      </w:r>
      <w:r>
        <w:rPr>
          <w:rStyle w:val="Style7"/>
          <w:rFonts w:eastAsia="Arial Unicode MS" w:cs="Calibri"/>
          <w:sz w:val="24"/>
          <w:szCs w:val="24"/>
        </w:rPr>
        <w:t>Παράρτημα X του Προσαρτήματος Α΄</w:t>
      </w:r>
      <w:r>
        <w:rPr>
          <w:rStyle w:val="Style7"/>
          <w:sz w:val="24"/>
          <w:szCs w:val="24"/>
          <w:rFonts w:eastAsia="Arial Unicode MS" w:cs="Calibri"/>
        </w:rPr>
        <w:fldChar w:fldCharType="end"/>
      </w:r>
      <w:r>
        <w:rPr>
          <w:rFonts w:eastAsia="Arial Unicode MS" w:cs="Calibri"/>
          <w:sz w:val="24"/>
          <w:szCs w:val="24"/>
        </w:rPr>
        <w:t>.</w:t>
      </w:r>
    </w:p>
    <w:p>
      <w:pPr>
        <w:pStyle w:val="Normal"/>
        <w:numPr>
          <w:ilvl w:val="0"/>
          <w:numId w:val="7"/>
        </w:numPr>
        <w:spacing w:before="0" w:after="0"/>
        <w:ind w:left="720" w:right="0" w:hanging="0"/>
        <w:jc w:val="both"/>
        <w:rPr>
          <w:rFonts w:eastAsia="Calibri" w:cs="Calibri"/>
          <w:sz w:val="24"/>
          <w:szCs w:val="24"/>
        </w:rPr>
      </w:pPr>
      <w:r>
        <w:rPr>
          <w:rFonts w:eastAsia="Calibri" w:cs="Calibri"/>
          <w:sz w:val="24"/>
          <w:szCs w:val="24"/>
        </w:rPr>
        <w:t>τα στοιχεία που αναφέρονται στις περιπτώσεις α΄ έως στ΄ της παρ. 1 του άρθρου 68 του ν. 3863/2010 (Α΄ 115), όπως εκάστοτε ισχύει, καθώς και ο ειδικός όρος της παραγράφου 3 του ίδιου άρθρου σύμφωνα με τον οποίο ο ανάδοχος υποχρεούται να εφαρμόζει τις διατάξεις της εργατικής και ασφαλιστικής νομοθεσίας και της νομοθεσίας περί υγείας και ασφάλειας των εργαζομένων και πρόληψης του επαγγελματικού κινδύνου.</w:t>
      </w:r>
    </w:p>
    <w:p>
      <w:pPr>
        <w:pStyle w:val="Normal"/>
        <w:spacing w:lineRule="auto" w:line="276" w:before="0" w:after="0"/>
        <w:ind w:left="57" w:right="0" w:hanging="0"/>
        <w:rPr>
          <w:rFonts w:eastAsia="Arial Unicode MS"/>
          <w:sz w:val="24"/>
          <w:lang w:val="el-GR"/>
        </w:rPr>
      </w:pPr>
      <w:r>
        <w:rPr>
          <w:rFonts w:eastAsia="Arial Unicode MS"/>
          <w:sz w:val="24"/>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pPr>
        <w:pStyle w:val="Normal"/>
        <w:spacing w:lineRule="auto" w:line="276" w:before="0" w:after="0"/>
        <w:ind w:left="-284" w:right="0" w:hanging="0"/>
        <w:rPr>
          <w:rFonts w:eastAsia="Arial Unicode MS"/>
          <w:sz w:val="24"/>
          <w:lang w:val="el-GR"/>
        </w:rPr>
      </w:pPr>
      <w:r>
        <w:rPr>
          <w:rFonts w:eastAsia="Arial Unicode MS"/>
          <w:sz w:val="24"/>
          <w:lang w:val="el-GR"/>
        </w:rPr>
      </w:r>
    </w:p>
    <w:p>
      <w:pPr>
        <w:pStyle w:val="Normal"/>
        <w:spacing w:lineRule="auto" w:line="276" w:before="0" w:after="0"/>
        <w:ind w:left="-284" w:right="0" w:hanging="0"/>
        <w:rPr/>
      </w:pPr>
      <w:r>
        <w:rPr>
          <w:rFonts w:eastAsia="Arial Unicode MS"/>
          <w:b/>
          <w:sz w:val="24"/>
          <w:lang w:val="el-GR"/>
        </w:rPr>
        <w:t xml:space="preserve">4.3.2. </w:t>
      </w:r>
      <w:r>
        <w:rPr>
          <w:rFonts w:eastAsia="Arial Unicode MS"/>
          <w:sz w:val="24"/>
          <w:lang w:val="el-GR"/>
        </w:rPr>
        <w:t xml:space="preserve">Ο ανάδοχος δεσμεύεται ότι : </w:t>
      </w:r>
    </w:p>
    <w:p>
      <w:pPr>
        <w:pStyle w:val="Normal"/>
        <w:spacing w:lineRule="auto" w:line="276" w:before="0" w:after="0"/>
        <w:ind w:left="57" w:right="0" w:hanging="0"/>
        <w:rPr/>
      </w:pPr>
      <w:r>
        <w:rPr>
          <w:rFonts w:eastAsia="Arial Unicode MS"/>
          <w:sz w:val="24"/>
          <w:lang w:val="el-GR"/>
        </w:rPr>
        <w:t xml:space="preserve">α) </w:t>
      </w:r>
      <w:r>
        <w:rPr>
          <w:rFonts w:eastAsia="Arial Unicode MS"/>
          <w:b/>
          <w:sz w:val="24"/>
          <w:lang w:val="el-GR"/>
        </w:rPr>
        <w:t>σε όλα τα στάδια που προηγήθηκαν της σύμβασης</w:t>
      </w:r>
      <w:r>
        <w:rPr>
          <w:rFonts w:eastAsia="Arial Unicode MS"/>
          <w:sz w:val="24"/>
          <w:lang w:val="el-GR"/>
        </w:rPr>
        <w:t xml:space="preserve"> δεν ενήργησε αθέμιτα, παράνομα ή καταχρηστικά και ότι θα εξακολουθήσει να μην ενεργεί κατ` αυτόν τον τρόπο κατά το στάδιο εκτέλεσης της σύμβασης, </w:t>
      </w:r>
    </w:p>
    <w:p>
      <w:pPr>
        <w:pStyle w:val="Normal"/>
        <w:spacing w:lineRule="auto" w:line="276"/>
        <w:rPr/>
      </w:pPr>
      <w:r>
        <w:rPr>
          <w:rFonts w:eastAsia="Arial Unicode MS"/>
          <w:sz w:val="24"/>
          <w:lang w:val="el-GR"/>
        </w:rPr>
        <w:t xml:space="preserve">β) </w:t>
      </w:r>
      <w:r>
        <w:rPr>
          <w:rFonts w:eastAsia="Arial Unicode MS"/>
          <w:b/>
          <w:sz w:val="24"/>
          <w:lang w:val="el-GR"/>
        </w:rPr>
        <w:t xml:space="preserve">ότι θα δηλώσει αμελλητί στην αναθέτουσα αρχή, από τη στιγμή που λάβει γνώση, οποιαδήποτε κατάσταση </w:t>
      </w:r>
      <w:r>
        <w:rPr>
          <w:rFonts w:eastAsia="Arial Unicode MS"/>
          <w:sz w:val="24"/>
          <w:lang w:val="el-GR"/>
        </w:rPr>
        <w:t xml:space="preserve">(ακόμη και ενδεχόμενη) </w:t>
      </w:r>
      <w:r>
        <w:rPr>
          <w:rFonts w:eastAsia="Arial Unicode MS"/>
          <w:b/>
          <w:sz w:val="24"/>
          <w:lang w:val="el-GR"/>
        </w:rPr>
        <w:t>σύγκρουσης συμφερόντων</w:t>
      </w:r>
      <w:r>
        <w:rPr>
          <w:rFonts w:eastAsia="Arial Unicode MS"/>
          <w:sz w:val="24"/>
          <w:lang w:val="el-GR"/>
        </w:rPr>
        <w:t xml:space="preserve">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Pr>
          <w:rStyle w:val="Style14"/>
          <w:rStyle w:val="Style14"/>
          <w:rFonts w:eastAsia="Arial Unicode MS" w:cs="Calibri"/>
          <w:sz w:val="24"/>
          <w:lang w:val="el-GR"/>
        </w:rPr>
        <w:footnoteReference w:id="82"/>
      </w:r>
      <w:r>
        <w:rPr>
          <w:rFonts w:eastAsia="Arial Unicode MS"/>
          <w:sz w:val="24"/>
          <w:lang w:val="el-GR"/>
        </w:rPr>
        <w:t xml:space="preserve">. </w:t>
      </w:r>
    </w:p>
    <w:p>
      <w:pPr>
        <w:pStyle w:val="Normal"/>
        <w:spacing w:lineRule="auto" w:line="276"/>
        <w:rPr>
          <w:rFonts w:eastAsia="Arial Unicode MS"/>
          <w:sz w:val="24"/>
          <w:lang w:val="el-GR"/>
        </w:rPr>
      </w:pPr>
      <w:r>
        <w:rPr>
          <w:rFonts w:eastAsia="Arial Unicode MS"/>
          <w:sz w:val="24"/>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w:t>
      </w:r>
    </w:p>
    <w:p>
      <w:pPr>
        <w:pStyle w:val="Normal"/>
        <w:spacing w:lineRule="auto" w:line="276" w:before="0" w:after="0"/>
        <w:rPr/>
      </w:pPr>
      <w:r>
        <w:rPr>
          <w:rFonts w:eastAsia="Arial Unicode MS"/>
          <w:b/>
          <w:sz w:val="24"/>
          <w:lang w:val="el-GR"/>
        </w:rPr>
        <w:t>Στο συμφωνητικό περιλαμβάνεται σχετική δεσμευτική δήλωση τόσο του αναδόχου όσο και των υπεργολάβων του</w:t>
      </w:r>
      <w:r>
        <w:rPr>
          <w:rFonts w:eastAsia="Arial Unicode MS"/>
          <w:sz w:val="24"/>
          <w:lang w:val="el-GR"/>
        </w:rPr>
        <w:t>.</w:t>
      </w:r>
    </w:p>
    <w:p>
      <w:pPr>
        <w:pStyle w:val="Normal"/>
        <w:spacing w:lineRule="auto" w:line="276" w:before="0" w:after="0"/>
        <w:rPr>
          <w:rFonts w:eastAsia="Arial Unicode MS"/>
          <w:color w:val="339966"/>
          <w:sz w:val="24"/>
          <w:lang w:val="el-GR"/>
        </w:rPr>
      </w:pPr>
      <w:r>
        <w:rPr>
          <w:rFonts w:eastAsia="Arial Unicode MS"/>
          <w:color w:val="339966"/>
          <w:sz w:val="24"/>
          <w:lang w:val="el-GR"/>
        </w:rPr>
      </w:r>
    </w:p>
    <w:p>
      <w:pPr>
        <w:pStyle w:val="2"/>
        <w:spacing w:lineRule="auto" w:line="276" w:before="0" w:after="0"/>
        <w:ind w:left="207" w:right="0" w:hanging="567"/>
        <w:rPr>
          <w:rFonts w:ascii="Calibri" w:hAnsi="Calibri" w:eastAsia="Arial Unicode MS" w:cs="Calibri"/>
          <w:sz w:val="24"/>
          <w:szCs w:val="24"/>
          <w:lang w:val="el-GR"/>
        </w:rPr>
      </w:pPr>
      <w:bookmarkStart w:id="161" w:name="__RefHeading___Toc35635_1890191151"/>
      <w:bookmarkStart w:id="162" w:name="_Toc492539482"/>
      <w:bookmarkStart w:id="163" w:name="_Toc127963085"/>
      <w:bookmarkEnd w:id="161"/>
      <w:r>
        <w:rPr>
          <w:rFonts w:eastAsia="Arial Unicode MS" w:cs="Calibri" w:ascii="Calibri" w:hAnsi="Calibri"/>
          <w:sz w:val="24"/>
          <w:szCs w:val="24"/>
          <w:lang w:val="el-GR"/>
        </w:rPr>
        <w:t>4.4</w:t>
        <w:tab/>
        <w:t>Υπεργολαβία</w:t>
      </w:r>
      <w:bookmarkEnd w:id="162"/>
      <w:bookmarkEnd w:id="163"/>
    </w:p>
    <w:p>
      <w:pPr>
        <w:pStyle w:val="Normal"/>
        <w:spacing w:lineRule="auto" w:line="276" w:before="120" w:after="0"/>
        <w:rPr/>
      </w:pPr>
      <w:r>
        <w:rPr>
          <w:rFonts w:eastAsia="Arial Unicode MS"/>
          <w:b/>
          <w:bCs/>
          <w:sz w:val="24"/>
          <w:lang w:val="el-GR"/>
        </w:rPr>
        <w:t xml:space="preserve">4.4.1. </w:t>
      </w:r>
      <w:r>
        <w:rPr>
          <w:rFonts w:eastAsia="Arial Unicode MS"/>
          <w:sz w:val="24"/>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pPr>
        <w:pStyle w:val="Normal"/>
        <w:spacing w:lineRule="auto" w:line="276" w:before="0" w:after="0"/>
        <w:rPr/>
      </w:pPr>
      <w:r>
        <w:rPr>
          <w:rFonts w:eastAsia="Arial Unicode MS"/>
          <w:b/>
          <w:bCs/>
          <w:sz w:val="24"/>
          <w:lang w:val="el-GR"/>
        </w:rPr>
        <w:t xml:space="preserve">4.4.2. </w:t>
      </w:r>
      <w:r>
        <w:rPr>
          <w:rFonts w:eastAsia="Arial Unicode MS"/>
          <w:sz w:val="24"/>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Pr>
          <w:rStyle w:val="Style14"/>
          <w:rStyle w:val="Style14"/>
          <w:rFonts w:eastAsia="Arial Unicode MS" w:cs="Calibri"/>
          <w:sz w:val="24"/>
          <w:lang w:val="el-GR"/>
        </w:rPr>
        <w:footnoteReference w:id="83"/>
      </w:r>
      <w:r>
        <w:rPr>
          <w:rFonts w:eastAsia="Arial Unicode MS"/>
          <w:sz w:val="24"/>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pPr>
        <w:pStyle w:val="Normal"/>
        <w:spacing w:lineRule="auto" w:line="276" w:before="0" w:after="0"/>
        <w:rPr/>
      </w:pPr>
      <w:r>
        <w:rPr>
          <w:rFonts w:eastAsia="Arial Unicode MS"/>
          <w:b/>
          <w:bCs/>
          <w:sz w:val="24"/>
          <w:lang w:val="el-GR"/>
        </w:rPr>
        <w:t>4.4.3.</w:t>
      </w:r>
      <w:r>
        <w:rPr>
          <w:rFonts w:eastAsia="Arial Unicode MS"/>
          <w:sz w:val="24"/>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pPr>
        <w:pStyle w:val="Normal"/>
        <w:spacing w:lineRule="auto" w:line="276" w:before="0" w:after="0"/>
        <w:rPr>
          <w:rFonts w:eastAsia="Arial Unicode MS"/>
          <w:sz w:val="24"/>
          <w:lang w:val="el-GR"/>
        </w:rPr>
      </w:pPr>
      <w:r>
        <w:rPr>
          <w:rFonts w:eastAsia="Arial Unicode MS"/>
          <w:sz w:val="24"/>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pPr>
        <w:pStyle w:val="Normal"/>
        <w:spacing w:lineRule="auto" w:line="276" w:before="0" w:after="0"/>
        <w:rPr>
          <w:rFonts w:eastAsia="Arial Unicode MS"/>
          <w:sz w:val="24"/>
          <w:lang w:val="el-GR"/>
        </w:rPr>
      </w:pPr>
      <w:r>
        <w:rPr>
          <w:rFonts w:eastAsia="Arial Unicode MS"/>
          <w:sz w:val="24"/>
          <w:lang w:val="el-GR"/>
        </w:rPr>
      </w:r>
    </w:p>
    <w:p>
      <w:pPr>
        <w:pStyle w:val="2"/>
        <w:spacing w:lineRule="auto" w:line="276" w:before="0" w:after="0"/>
        <w:ind w:left="207" w:right="0" w:hanging="567"/>
        <w:rPr/>
      </w:pPr>
      <w:bookmarkStart w:id="164" w:name="__RefHeading___Toc35637_1890191151"/>
      <w:bookmarkStart w:id="165" w:name="_Toc492539483"/>
      <w:bookmarkEnd w:id="164"/>
      <w:r>
        <w:rPr>
          <w:rFonts w:eastAsia="Arial Unicode MS" w:cs="Calibri" w:ascii="Calibri" w:hAnsi="Calibri"/>
          <w:sz w:val="24"/>
          <w:szCs w:val="24"/>
          <w:lang w:val="el-GR"/>
        </w:rPr>
        <w:t>4.5</w:t>
        <w:tab/>
        <w:t>Τροποποίηση σύμβασης κατά τη διάρκειά της</w:t>
      </w:r>
      <w:bookmarkStart w:id="166" w:name="_Toc127963086"/>
      <w:bookmarkEnd w:id="165"/>
      <w:bookmarkEnd w:id="166"/>
      <w:r>
        <w:rPr>
          <w:rStyle w:val="Style14"/>
          <w:rStyle w:val="Style14"/>
          <w:rFonts w:eastAsia="Arial Unicode MS" w:cs="Calibri" w:ascii="Calibri" w:hAnsi="Calibri"/>
          <w:sz w:val="24"/>
          <w:szCs w:val="24"/>
          <w:lang w:val="el-GR"/>
        </w:rPr>
        <w:footnoteReference w:id="84"/>
      </w:r>
      <w:r>
        <w:rPr>
          <w:rFonts w:eastAsia="Arial Unicode MS" w:cs="Calibri" w:ascii="Calibri" w:hAnsi="Calibri"/>
          <w:sz w:val="24"/>
          <w:szCs w:val="24"/>
          <w:lang w:val="el-GR"/>
        </w:rPr>
        <w:t xml:space="preserve"> </w:t>
      </w:r>
    </w:p>
    <w:p>
      <w:pPr>
        <w:pStyle w:val="Normal"/>
        <w:spacing w:lineRule="auto" w:line="276" w:before="120" w:after="0"/>
        <w:rPr>
          <w:rFonts w:eastAsia="Arial Unicode MS"/>
          <w:sz w:val="24"/>
          <w:lang w:val="el-GR"/>
        </w:rPr>
      </w:pPr>
      <w:r>
        <w:rPr>
          <w:rFonts w:eastAsia="Arial Unicode MS"/>
          <w:sz w:val="24"/>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της αναθέτουσας αρχής.</w:t>
      </w:r>
    </w:p>
    <w:p>
      <w:pPr>
        <w:pStyle w:val="Normal"/>
        <w:spacing w:lineRule="auto" w:line="276" w:before="120" w:after="0"/>
        <w:rPr/>
      </w:pPr>
      <w:r>
        <w:rPr>
          <w:rFonts w:eastAsia="Arial Unicode MS"/>
          <w:sz w:val="24"/>
          <w:lang w:val="el-GR"/>
        </w:rPr>
        <w:t>Μετά τη λύση της σύμβασης λόγω της έκπτωσης του αναδόχου, σύμφωνα με το άρθρο 203 του ν. 4412/2016 και την παράγραφο 5.2. της παρούσας</w:t>
      </w:r>
      <w:r>
        <w:rPr>
          <w:rStyle w:val="Style14"/>
          <w:rStyle w:val="Style14"/>
          <w:rFonts w:eastAsia="Arial Unicode MS" w:cs="Calibri"/>
          <w:sz w:val="24"/>
        </w:rPr>
        <w:footnoteReference w:id="85"/>
      </w:r>
      <w:r>
        <w:rPr>
          <w:rFonts w:eastAsia="Arial Unicode MS"/>
          <w:sz w:val="24"/>
          <w:lang w:val="el-GR"/>
        </w:rPr>
        <w:t xml:space="preserve">, όπως και σε περίπτωση καταγγελίας για όλους λόγους της παραγράφου 4.6, πλην αυτού της περ. (α), </w:t>
      </w:r>
      <w:r>
        <w:rPr>
          <w:rFonts w:eastAsia="Arial Unicode MS"/>
          <w:b/>
          <w:sz w:val="24"/>
          <w:lang w:val="el-GR"/>
        </w:rPr>
        <w:t>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Pr>
          <w:rStyle w:val="Style14"/>
          <w:rStyle w:val="Style14"/>
          <w:rFonts w:eastAsia="Arial Unicode MS" w:cs="Calibri"/>
          <w:sz w:val="24"/>
          <w:lang w:val="el-GR"/>
        </w:rPr>
        <w:footnoteReference w:id="86"/>
      </w:r>
      <w:r>
        <w:rPr>
          <w:rFonts w:eastAsia="Arial Unicode MS"/>
          <w:sz w:val="24"/>
          <w:lang w:val="el-GR"/>
        </w:rPr>
        <w:t xml:space="preserve">. </w:t>
      </w:r>
    </w:p>
    <w:p>
      <w:pPr>
        <w:pStyle w:val="Normal"/>
        <w:spacing w:lineRule="auto" w:line="276" w:before="120" w:after="0"/>
        <w:rPr>
          <w:rFonts w:eastAsia="Arial Unicode MS"/>
          <w:sz w:val="24"/>
          <w:lang w:val="el-GR"/>
        </w:rPr>
      </w:pPr>
      <w:r>
        <w:rPr>
          <w:rFonts w:eastAsia="Arial Unicode MS"/>
          <w:sz w:val="24"/>
          <w:lang w:val="el-GR"/>
        </w:rPr>
        <w:t>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pPr>
        <w:pStyle w:val="Normal"/>
        <w:spacing w:lineRule="auto" w:line="276" w:before="0" w:after="0"/>
        <w:rPr>
          <w:rFonts w:eastAsia="Arial Unicode MS"/>
          <w:sz w:val="24"/>
          <w:lang w:val="el-GR"/>
        </w:rPr>
      </w:pPr>
      <w:r>
        <w:rPr>
          <w:rFonts w:eastAsia="Arial Unicode MS"/>
          <w:sz w:val="24"/>
          <w:lang w:val="el-GR"/>
        </w:rPr>
      </w:r>
    </w:p>
    <w:p>
      <w:pPr>
        <w:pStyle w:val="2"/>
        <w:spacing w:lineRule="auto" w:line="276" w:before="0" w:after="0"/>
        <w:ind w:left="207" w:right="0" w:hanging="567"/>
        <w:rPr>
          <w:rFonts w:ascii="Calibri" w:hAnsi="Calibri" w:eastAsia="Arial Unicode MS" w:cs="Calibri"/>
          <w:sz w:val="24"/>
          <w:szCs w:val="24"/>
          <w:lang w:val="el-GR"/>
        </w:rPr>
      </w:pPr>
      <w:bookmarkStart w:id="167" w:name="__RefHeading___Toc35639_1890191151"/>
      <w:bookmarkStart w:id="168" w:name="_Toc492539484"/>
      <w:bookmarkStart w:id="169" w:name="_Toc127963087"/>
      <w:bookmarkEnd w:id="167"/>
      <w:r>
        <w:rPr>
          <w:rFonts w:eastAsia="Arial Unicode MS" w:cs="Calibri" w:ascii="Calibri" w:hAnsi="Calibri"/>
          <w:sz w:val="24"/>
          <w:szCs w:val="24"/>
          <w:lang w:val="el-GR"/>
        </w:rPr>
        <w:t>4.6</w:t>
        <w:tab/>
        <w:t>Δικαίωμα μονομερούς λύσης της σύμβασης</w:t>
      </w:r>
      <w:bookmarkEnd w:id="168"/>
      <w:bookmarkEnd w:id="169"/>
    </w:p>
    <w:p>
      <w:pPr>
        <w:pStyle w:val="Normal"/>
        <w:spacing w:lineRule="auto" w:line="276" w:before="120" w:after="0"/>
        <w:rPr/>
      </w:pPr>
      <w:r>
        <w:rPr>
          <w:rFonts w:eastAsia="Arial Unicode MS"/>
          <w:b/>
          <w:bCs/>
          <w:sz w:val="24"/>
          <w:lang w:val="el-GR"/>
        </w:rPr>
        <w:t>4.6.1.</w:t>
      </w:r>
      <w:r>
        <w:rPr>
          <w:rFonts w:eastAsia="Arial Unicode MS"/>
          <w:sz w:val="24"/>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pPr>
        <w:pStyle w:val="Normal"/>
        <w:spacing w:lineRule="auto" w:line="276" w:before="0" w:after="0"/>
        <w:rPr>
          <w:rFonts w:eastAsia="Arial Unicode MS"/>
          <w:sz w:val="24"/>
          <w:lang w:val="el-GR"/>
        </w:rPr>
      </w:pPr>
      <w:r>
        <w:rPr>
          <w:rFonts w:eastAsia="Arial Unicode MS"/>
          <w:sz w:val="24"/>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pPr>
        <w:pStyle w:val="Normal"/>
        <w:spacing w:lineRule="auto" w:line="276" w:before="0" w:after="0"/>
        <w:rPr>
          <w:rFonts w:eastAsia="Arial Unicode MS"/>
          <w:sz w:val="24"/>
          <w:lang w:val="el-GR"/>
        </w:rPr>
      </w:pPr>
      <w:r>
        <w:rPr>
          <w:rFonts w:eastAsia="Arial Unicode MS"/>
          <w:sz w:val="24"/>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pPr>
        <w:pStyle w:val="Normal"/>
        <w:spacing w:lineRule="auto" w:line="276" w:before="0" w:after="0"/>
        <w:rPr>
          <w:rFonts w:eastAsia="Arial Unicode MS"/>
          <w:sz w:val="24"/>
          <w:lang w:val="el-GR"/>
        </w:rPr>
      </w:pPr>
      <w:r>
        <w:rPr>
          <w:rFonts w:eastAsia="Arial Unicode MS"/>
          <w:sz w:val="24"/>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pPr>
        <w:pStyle w:val="Normal"/>
        <w:spacing w:lineRule="auto" w:line="276" w:before="0" w:after="0"/>
        <w:rPr>
          <w:rFonts w:eastAsia="Arial Unicode MS"/>
          <w:sz w:val="24"/>
          <w:lang w:val="el-GR"/>
        </w:rPr>
      </w:pPr>
      <w:r>
        <w:rPr>
          <w:rFonts w:eastAsia="Arial Unicode MS"/>
          <w:sz w:val="24"/>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pPr>
        <w:pStyle w:val="Normal"/>
        <w:spacing w:lineRule="auto" w:line="276" w:before="0" w:after="0"/>
        <w:rPr>
          <w:rFonts w:eastAsia="Arial Unicode MS"/>
          <w:sz w:val="24"/>
          <w:lang w:val="el-GR"/>
        </w:rPr>
      </w:pPr>
      <w:r>
        <w:rPr>
          <w:rFonts w:eastAsia="Arial Unicode MS"/>
          <w:sz w:val="24"/>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pPr>
        <w:pStyle w:val="Normal"/>
        <w:spacing w:lineRule="auto" w:line="276" w:before="0" w:after="0"/>
        <w:rPr>
          <w:rFonts w:eastAsia="Arial Unicode MS"/>
          <w:sz w:val="24"/>
          <w:lang w:val="el-GR"/>
        </w:rPr>
      </w:pPr>
      <w:r>
        <w:rPr>
          <w:rFonts w:eastAsia="Arial Unicode MS"/>
          <w:sz w:val="24"/>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pPr>
        <w:pStyle w:val="Normal"/>
        <w:spacing w:lineRule="auto" w:line="276" w:before="0" w:after="0"/>
        <w:rPr>
          <w:rFonts w:eastAsia="Arial Unicode MS"/>
          <w:sz w:val="24"/>
          <w:lang w:val="el-GR"/>
        </w:rPr>
      </w:pPr>
      <w:r>
        <w:rPr>
          <w:rFonts w:eastAsia="Arial Unicode MS"/>
          <w:sz w:val="24"/>
          <w:lang w:val="el-GR"/>
        </w:rPr>
        <w:t>στ) ο ανάδοχος παραβεί αποδεδειγμένα τις υποχρεώσεις του που απορρέουν από την δέσμευση ακεραιότητας της παρ. 4.3.2. της παρούσας.</w:t>
      </w:r>
    </w:p>
    <w:p>
      <w:pPr>
        <w:pStyle w:val="Normal"/>
        <w:spacing w:lineRule="auto" w:line="276" w:before="0" w:after="0"/>
        <w:rPr/>
      </w:pPr>
      <w:r>
        <w:rPr>
          <w:rFonts w:eastAsia="Arial Unicode MS"/>
          <w:sz w:val="24"/>
          <w:lang w:val="el-GR"/>
        </w:rPr>
        <w:t xml:space="preserve"> </w:t>
      </w:r>
      <w:r>
        <w:rPr>
          <w:rFonts w:eastAsia="Arial Unicode MS" w:cs="Tahoma"/>
          <w:b/>
          <w:sz w:val="24"/>
          <w:lang w:val="el-GR"/>
        </w:rPr>
        <w:t>4.6.2</w:t>
      </w:r>
      <w:r>
        <w:rPr>
          <w:rFonts w:eastAsia="Arial Unicode MS" w:cs="Tahoma"/>
          <w:color w:val="000000"/>
          <w:sz w:val="24"/>
          <w:lang w:val="el-GR" w:eastAsia="el-GR"/>
        </w:rPr>
        <w:t xml:space="preserve"> </w:t>
      </w:r>
      <w:r>
        <w:rPr>
          <w:rFonts w:cs="Tahoma"/>
          <w:sz w:val="24"/>
          <w:lang w:val="el-GR" w:eastAsia="el-GR"/>
        </w:rPr>
        <w:t xml:space="preserve">Σε περίπτωση κατάργησης ή συρρίκνωσης ή μετεγκατάστασης οργανικών μονάδων, λόγω συγχώνευσης ή λύσης της μίσθωσης ή ανάθεσης καθηκόντων σε μόνιμο ή έκτακτο υπαλληλικό προσωπικό καθαριότητας της Αναθέτουσας Αρχής κλάδου ΥΕ-προσωπικό καθαριότητας και σε κάθε εν γένει περίπτωση αλλαγής των χώρων ή µη χρήσης αυτών από την Αναθέτουσα Αρχή, η Αναθέτουσα Αρχή, έχει το δικαίωμα να χρησιμοποιήσει το προσωπικό του Αναδόχου σύμφωνα με τις ανάγκες που τυχόν θα προκύψουν στα νέα κτίρια ή στα ήδη υπάρχοντα, ή να διακόψει εν μέρει τις υπηρεσίες καθαριότητας, χωρίς οποιαδήποτε αξίωση αποζημίωσης από τον Ανάδοχο, ανεξαρτήτως του εναπομένοντος χρόνου αυτής. Στην περίπτωση διακοπής των υπηρεσιών, η Αναθέτουσα Αρχή θα καταβάλλει μηνιαία αμοιβή στον Ανάδοχο, μειωμένη κατά το ποσό που αντιστοιχεί στους χώρους στους οποίους θα διακοπεί ο καθαρισμός. </w:t>
      </w:r>
    </w:p>
    <w:p>
      <w:pPr>
        <w:pStyle w:val="Standard"/>
        <w:overflowPunct w:val="true"/>
        <w:spacing w:lineRule="auto" w:line="276"/>
        <w:jc w:val="both"/>
        <w:rPr>
          <w:rFonts w:ascii="Calibri" w:hAnsi="Calibri" w:eastAsia="Times New Roman" w:cs="Tahoma"/>
          <w:lang w:eastAsia="el-GR"/>
        </w:rPr>
      </w:pPr>
      <w:r>
        <w:rPr>
          <w:rFonts w:eastAsia="Times New Roman" w:cs="Tahoma" w:ascii="Calibri" w:hAnsi="Calibri"/>
          <w:lang w:eastAsia="el-GR"/>
        </w:rPr>
        <w:t>Ωστόσο, το ποσό που θα εξοικονομηθεί δύναται να χρησιμοποιηθεί για τον καθαρισμό κτιρίων ή χώρων κτιρίων, που δεν είχαν αρχικά συμπεριληφθεί στους πίνακες ή σε κτίρια στα οποία στεγάζονται νεοσύστατες Υπηρεσίες. Στην περίπτωση αυτή, ο Ανάδοχος υποχρεούται να παρέχει στους νέους χώρους τις υπηρεσίες του, με τους ίδιους όρους της σύμβασης και η Αναθέτουσα Αρχή υποχρεούται στην πληρωμή του, σύμφωνα με την οικονομική προσφορά του.</w:t>
      </w:r>
    </w:p>
    <w:p>
      <w:pPr>
        <w:pStyle w:val="Normal"/>
        <w:spacing w:lineRule="auto" w:line="276" w:before="0" w:after="0"/>
        <w:ind w:left="227" w:right="0" w:hanging="113"/>
        <w:rPr>
          <w:rFonts w:cs="Tahoma"/>
          <w:sz w:val="24"/>
          <w:lang w:val="el-GR" w:eastAsia="el-GR"/>
        </w:rPr>
      </w:pPr>
      <w:r>
        <w:rPr>
          <w:rFonts w:cs="Tahoma"/>
          <w:sz w:val="24"/>
          <w:lang w:val="el-GR" w:eastAsia="el-GR"/>
        </w:rPr>
        <w:t xml:space="preserve">Οποιαδήποτε εκ των άνω μεταβολή επέλθει, η Αναθέτουσα Αρχή θα ενημερώνει τον Ανάδοχο εγκαίρως. </w:t>
      </w:r>
    </w:p>
    <w:p>
      <w:pPr>
        <w:pStyle w:val="Normal"/>
        <w:spacing w:lineRule="auto" w:line="276" w:before="0" w:after="0"/>
        <w:rPr>
          <w:rFonts w:ascii="Calibri" w:hAnsi="Calibri" w:eastAsia="Arial Unicode MS" w:cs="Calibri"/>
          <w:b/>
          <w:b/>
          <w:sz w:val="24"/>
          <w:lang w:val="el-GR"/>
        </w:rPr>
      </w:pPr>
      <w:r>
        <w:rPr>
          <w:rFonts w:eastAsia="Arial Unicode MS" w:cs="Calibri"/>
          <w:b/>
          <w:sz w:val="24"/>
          <w:lang w:val="el-GR"/>
        </w:rPr>
      </w:r>
    </w:p>
    <w:p>
      <w:pPr>
        <w:pStyle w:val="1"/>
        <w:spacing w:lineRule="auto" w:line="276" w:before="0" w:after="0"/>
        <w:rPr/>
      </w:pPr>
      <w:bookmarkStart w:id="170" w:name="__RefHeading___Toc35641_1890191151"/>
      <w:bookmarkStart w:id="171" w:name="_Toc58242686"/>
      <w:bookmarkEnd w:id="170"/>
      <w:r>
        <w:rPr>
          <w:rFonts w:eastAsia="Arial Unicode MS" w:cs="Calibri" w:ascii="Calibri" w:hAnsi="Calibri"/>
          <w:sz w:val="24"/>
          <w:szCs w:val="24"/>
          <w:lang w:val="el-GR"/>
        </w:rPr>
        <w:t>5.</w:t>
        <w:tab/>
        <w:t>ΕΙΔΙΚΟΙ ΟΡΟΙ ΕΚΤΕΛΕΣΗΣ ΤΗΣ ΣΥΜΒΑΣΗΣ</w:t>
      </w:r>
      <w:bookmarkEnd w:id="171"/>
      <w:r>
        <w:rPr>
          <w:rFonts w:eastAsia="Arial Unicode MS" w:cs="Calibri" w:ascii="Calibri" w:hAnsi="Calibri"/>
          <w:sz w:val="24"/>
          <w:szCs w:val="24"/>
          <w:lang w:val="el-GR"/>
        </w:rPr>
        <w:t xml:space="preserve"> </w:t>
      </w:r>
    </w:p>
    <w:p>
      <w:pPr>
        <w:pStyle w:val="2"/>
        <w:spacing w:lineRule="auto" w:line="276" w:before="0" w:after="0"/>
        <w:ind w:left="567" w:right="0" w:hanging="567"/>
        <w:rPr>
          <w:rFonts w:ascii="Calibri" w:hAnsi="Calibri"/>
          <w:sz w:val="24"/>
          <w:szCs w:val="24"/>
          <w:lang w:val="el-GR"/>
        </w:rPr>
      </w:pPr>
      <w:r>
        <w:rPr>
          <w:rFonts w:ascii="Calibri" w:hAnsi="Calibri"/>
          <w:sz w:val="24"/>
          <w:szCs w:val="24"/>
          <w:lang w:val="el-GR"/>
        </w:rPr>
      </w:r>
    </w:p>
    <w:p>
      <w:pPr>
        <w:pStyle w:val="2"/>
        <w:spacing w:lineRule="auto" w:line="276" w:before="0" w:after="0"/>
        <w:ind w:left="567" w:right="0" w:hanging="567"/>
        <w:rPr/>
      </w:pPr>
      <w:bookmarkStart w:id="172" w:name="__RefHeading___Toc35643_1890191151"/>
      <w:bookmarkStart w:id="173" w:name="_Toc492539485"/>
      <w:bookmarkStart w:id="174" w:name="_Toc58242687"/>
      <w:bookmarkEnd w:id="172"/>
      <w:r>
        <w:rPr>
          <w:rFonts w:eastAsia="Arial Unicode MS" w:cs="Calibri" w:ascii="Calibri" w:hAnsi="Calibri"/>
          <w:sz w:val="24"/>
          <w:szCs w:val="24"/>
          <w:lang w:val="el-GR"/>
        </w:rPr>
        <w:t>5.1</w:t>
        <w:tab/>
        <w:t>Τρόπος πληρωμής</w:t>
      </w:r>
      <w:bookmarkEnd w:id="173"/>
      <w:bookmarkEnd w:id="174"/>
      <w:r>
        <w:rPr>
          <w:rFonts w:eastAsia="Arial Unicode MS" w:cs="Calibri" w:ascii="Calibri" w:hAnsi="Calibri"/>
          <w:sz w:val="24"/>
          <w:szCs w:val="24"/>
          <w:lang w:val="el-GR"/>
        </w:rPr>
        <w:t xml:space="preserve"> </w:t>
      </w:r>
    </w:p>
    <w:p>
      <w:pPr>
        <w:pStyle w:val="Normal"/>
        <w:spacing w:lineRule="auto" w:line="276" w:before="0" w:after="0"/>
        <w:rPr/>
      </w:pPr>
      <w:r>
        <w:rPr>
          <w:rFonts w:eastAsia="Arial Unicode MS" w:cs="Tahoma"/>
          <w:b/>
          <w:sz w:val="24"/>
          <w:lang w:val="el-GR"/>
        </w:rPr>
        <w:t>.1.1.</w:t>
      </w:r>
      <w:r>
        <w:rPr>
          <w:rFonts w:eastAsia="Arial Unicode MS" w:cs="Tahoma"/>
          <w:sz w:val="24"/>
          <w:lang w:val="el-GR"/>
        </w:rPr>
        <w:t xml:space="preserve"> Η πληρωμή του αναδόχου θα πραγματοποιηθεί τμηματικά και στο </w:t>
      </w:r>
      <w:r>
        <w:rPr>
          <w:rFonts w:eastAsia="Arial Unicode MS" w:cs="Tahoma"/>
          <w:b/>
          <w:sz w:val="24"/>
          <w:lang w:val="el-GR"/>
        </w:rPr>
        <w:t>100%</w:t>
      </w:r>
      <w:r>
        <w:rPr>
          <w:rFonts w:eastAsia="Arial Unicode MS" w:cs="Tahoma"/>
          <w:sz w:val="24"/>
          <w:lang w:val="el-GR"/>
        </w:rPr>
        <w:t xml:space="preserve"> της μηνιαίας συμβατικής αξίας μετά την οριστική παραλαβή ανά μήνα των υπηρεσιών. Ειδικότερα </w:t>
      </w:r>
      <w:r>
        <w:rPr>
          <w:rFonts w:eastAsia="Arial Unicode MS" w:cs="Tahoma"/>
          <w:sz w:val="24"/>
          <w:lang w:val="en-US"/>
        </w:rPr>
        <w:t xml:space="preserve">: </w:t>
      </w:r>
    </w:p>
    <w:p>
      <w:pPr>
        <w:pStyle w:val="Normal"/>
        <w:numPr>
          <w:ilvl w:val="0"/>
          <w:numId w:val="6"/>
        </w:numPr>
        <w:spacing w:before="0" w:after="0"/>
        <w:textAlignment w:val="baseline"/>
        <w:rPr/>
      </w:pPr>
      <w:r>
        <w:rPr>
          <w:rFonts w:eastAsia="Arial Unicode MS" w:cs="Tahoma"/>
          <w:kern w:val="2"/>
          <w:sz w:val="24"/>
          <w:szCs w:val="24"/>
        </w:rPr>
        <w:t xml:space="preserve">Η πληρωμή του συμβατικού τιμήματος θα γίνεται ανά μήνα, απολογιστικά, </w:t>
      </w:r>
      <w:r>
        <w:rPr>
          <w:rFonts w:cs="Tahoma"/>
          <w:sz w:val="24"/>
          <w:szCs w:val="24"/>
        </w:rPr>
        <w:t>λαμβανομένων υπόψη των αναφερόμενων στην παρ.4.6.2. της παρούσης,</w:t>
      </w:r>
      <w:r>
        <w:rPr>
          <w:rFonts w:eastAsia="Arial Unicode MS" w:cs="Tahoma"/>
          <w:kern w:val="2"/>
          <w:sz w:val="24"/>
          <w:szCs w:val="24"/>
        </w:rPr>
        <w:t xml:space="preserve"> με την προσκόμιση των νομίμων παραστατικών και δικαιολογητικών που προβλέπονται από τις διατάξεις του άρθρου 200 παρ. 5 του ν. 4412/2016, όπως ισχύει, καθώς και κάθε άλλου δικαιολογητικού που τυχόν ζητηθεί από τις αρμόδιες υπηρεσίες που διενεργούν τον έλεγχο και την πληρωμή. </w:t>
      </w:r>
    </w:p>
    <w:p>
      <w:pPr>
        <w:pStyle w:val="Normal"/>
        <w:numPr>
          <w:ilvl w:val="0"/>
          <w:numId w:val="6"/>
        </w:numPr>
        <w:spacing w:before="0" w:after="0"/>
        <w:textAlignment w:val="baseline"/>
        <w:rPr/>
      </w:pPr>
      <w:r>
        <w:rPr>
          <w:rFonts w:cs="Tahoma"/>
          <w:sz w:val="24"/>
          <w:szCs w:val="24"/>
        </w:rPr>
        <w:t xml:space="preserve">Ο Ανάδοχος θα εκδίδει ανά μήνα, συγκεντρωτικό </w:t>
      </w:r>
      <w:r>
        <w:rPr>
          <w:rFonts w:cs="Tahoma"/>
          <w:b/>
          <w:sz w:val="24"/>
          <w:szCs w:val="24"/>
        </w:rPr>
        <w:t>ανά Τμήμα</w:t>
      </w:r>
      <w:r>
        <w:rPr>
          <w:rFonts w:cs="Tahoma"/>
          <w:sz w:val="24"/>
          <w:szCs w:val="24"/>
        </w:rPr>
        <w:t xml:space="preserve"> τιμολόγιο παροχής υπηρεσιών, στο οποίο θα αναγράφεται το κόστος που αντιστοιχεί σε κάθε Κτίριο που συμπεριλαμβάνεται στο Τμήμα, σύμφωνα με την υποβληθείσα οικονομική προσφορά του.</w:t>
      </w:r>
      <w:r>
        <w:rPr>
          <w:rFonts w:eastAsia="Arial Unicode MS" w:cs="Tahoma"/>
          <w:b/>
          <w:bCs/>
          <w:sz w:val="24"/>
          <w:szCs w:val="24"/>
          <w:u w:val="single"/>
        </w:rPr>
        <w:t xml:space="preserve"> </w:t>
      </w:r>
    </w:p>
    <w:p>
      <w:pPr>
        <w:pStyle w:val="Normal"/>
        <w:numPr>
          <w:ilvl w:val="0"/>
          <w:numId w:val="6"/>
        </w:numPr>
        <w:spacing w:before="0" w:after="0"/>
        <w:rPr>
          <w:rFonts w:eastAsia="Arial Unicode MS" w:cs="Tahoma"/>
          <w:b/>
          <w:b/>
          <w:bCs/>
          <w:sz w:val="24"/>
          <w:szCs w:val="24"/>
          <w:u w:val="single"/>
        </w:rPr>
      </w:pPr>
      <w:r>
        <w:rPr>
          <w:rFonts w:eastAsia="Arial Unicode MS" w:cs="Tahoma"/>
          <w:b/>
          <w:bCs/>
          <w:sz w:val="24"/>
          <w:szCs w:val="24"/>
          <w:u w:val="single"/>
        </w:rPr>
        <w:t>Το/α τιμολόγιο/α θα εκδίδονται στα εξής στοιχεία:</w:t>
      </w:r>
    </w:p>
    <w:p>
      <w:pPr>
        <w:pStyle w:val="Normal"/>
        <w:numPr>
          <w:ilvl w:val="0"/>
          <w:numId w:val="0"/>
        </w:numPr>
        <w:spacing w:before="0" w:after="0"/>
        <w:ind w:left="1440" w:right="0" w:hanging="0"/>
        <w:rPr>
          <w:rFonts w:eastAsia="Arial Unicode MS" w:cs="Tahoma"/>
          <w:b/>
          <w:b/>
          <w:bCs/>
          <w:sz w:val="24"/>
          <w:szCs w:val="24"/>
          <w:u w:val="single"/>
        </w:rPr>
      </w:pPr>
      <w:r>
        <w:rPr>
          <w:rFonts w:eastAsia="Arial Unicode MS" w:cs="Tahoma"/>
          <w:b/>
          <w:bCs/>
          <w:sz w:val="24"/>
          <w:szCs w:val="24"/>
          <w:u w:val="single"/>
        </w:rPr>
      </w:r>
    </w:p>
    <w:p>
      <w:pPr>
        <w:pStyle w:val="Normal"/>
        <w:pBdr>
          <w:top w:val="single" w:sz="4" w:space="1" w:color="000000"/>
          <w:left w:val="single" w:sz="4" w:space="4" w:color="000000"/>
          <w:bottom w:val="single" w:sz="4" w:space="1" w:color="000000"/>
          <w:right w:val="single" w:sz="4" w:space="4" w:color="000000"/>
        </w:pBdr>
        <w:spacing w:lineRule="auto" w:line="276" w:before="0" w:after="0"/>
        <w:rPr>
          <w:rFonts w:eastAsia="Arial Unicode MS" w:cs="Calibri"/>
          <w:b/>
          <w:b/>
          <w:bCs/>
          <w:sz w:val="24"/>
          <w:lang w:val="el-GR"/>
        </w:rPr>
      </w:pPr>
      <w:r>
        <w:rPr>
          <w:rFonts w:eastAsia="Arial Unicode MS" w:cs="Calibri"/>
          <w:b/>
          <w:bCs/>
          <w:sz w:val="24"/>
          <w:lang w:val="el-GR"/>
        </w:rPr>
        <w:t>ΕΠΩΝΥΜΙΑ: e-Ε.Φ.Κ.Α.–ΠΥΣΥ ΘΕΣΣΑΛΙΑΣ</w:t>
      </w:r>
    </w:p>
    <w:p>
      <w:pPr>
        <w:pStyle w:val="Normal"/>
        <w:pBdr>
          <w:top w:val="single" w:sz="4" w:space="1" w:color="000000"/>
          <w:left w:val="single" w:sz="4" w:space="4" w:color="000000"/>
          <w:bottom w:val="single" w:sz="4" w:space="1" w:color="000000"/>
          <w:right w:val="single" w:sz="4" w:space="4" w:color="000000"/>
        </w:pBdr>
        <w:spacing w:lineRule="auto" w:line="276" w:before="0" w:after="0"/>
        <w:rPr>
          <w:rFonts w:eastAsia="Arial Unicode MS" w:cs="Calibri"/>
          <w:b/>
          <w:b/>
          <w:bCs/>
          <w:sz w:val="24"/>
          <w:lang w:val="el-GR"/>
        </w:rPr>
      </w:pPr>
      <w:r>
        <w:rPr>
          <w:rFonts w:eastAsia="Arial Unicode MS" w:cs="Calibri"/>
          <w:b/>
          <w:bCs/>
          <w:sz w:val="24"/>
          <w:lang w:val="el-GR"/>
        </w:rPr>
        <w:t>ΕΠΑΓΓΕΛΜΑ: ΑΣΦΑΛΙΣΤΙΚΟΣ ΟΡΓΑΝΙΣΜΟΣ - Ν.Π.Δ.Δ.</w:t>
      </w:r>
    </w:p>
    <w:p>
      <w:pPr>
        <w:pStyle w:val="Normal"/>
        <w:pBdr>
          <w:top w:val="single" w:sz="4" w:space="1" w:color="000000"/>
          <w:left w:val="single" w:sz="4" w:space="4" w:color="000000"/>
          <w:bottom w:val="single" w:sz="4" w:space="1" w:color="000000"/>
          <w:right w:val="single" w:sz="4" w:space="4" w:color="000000"/>
        </w:pBdr>
        <w:spacing w:lineRule="auto" w:line="276" w:before="0" w:after="0"/>
        <w:rPr>
          <w:rFonts w:eastAsia="Arial Unicode MS" w:cs="Calibri"/>
          <w:b/>
          <w:b/>
          <w:bCs/>
          <w:sz w:val="24"/>
          <w:lang w:val="el-GR"/>
        </w:rPr>
      </w:pPr>
      <w:r>
        <w:rPr>
          <w:rFonts w:eastAsia="Arial Unicode MS" w:cs="Calibri"/>
          <w:b/>
          <w:bCs/>
          <w:sz w:val="24"/>
          <w:lang w:val="el-GR"/>
        </w:rPr>
        <w:t>ΔΙΕΥΘΥΝΣΗ: Αγχιάλου &amp; Αγ. Τριάδος, Τ.Κ. 413 34, Λάρισα</w:t>
      </w:r>
    </w:p>
    <w:p>
      <w:pPr>
        <w:pStyle w:val="Normal"/>
        <w:pBdr>
          <w:top w:val="single" w:sz="4" w:space="1" w:color="000000"/>
          <w:left w:val="single" w:sz="4" w:space="4" w:color="000000"/>
          <w:bottom w:val="single" w:sz="4" w:space="1" w:color="000000"/>
          <w:right w:val="single" w:sz="4" w:space="4" w:color="000000"/>
        </w:pBdr>
        <w:spacing w:lineRule="auto" w:line="276" w:before="0" w:after="0"/>
        <w:rPr>
          <w:rFonts w:eastAsia="Arial Unicode MS" w:cs="Calibri"/>
          <w:b/>
          <w:b/>
          <w:bCs/>
          <w:sz w:val="24"/>
          <w:lang w:val="el-GR"/>
        </w:rPr>
      </w:pPr>
      <w:r>
        <w:rPr>
          <w:rFonts w:eastAsia="Arial Unicode MS" w:cs="Calibri"/>
          <w:b/>
          <w:bCs/>
          <w:sz w:val="24"/>
          <w:lang w:val="el-GR"/>
        </w:rPr>
        <w:t xml:space="preserve">Α.Φ.Μ.: 997072577  </w:t>
      </w:r>
    </w:p>
    <w:p>
      <w:pPr>
        <w:pStyle w:val="Normal"/>
        <w:pBdr>
          <w:top w:val="single" w:sz="4" w:space="1" w:color="000000"/>
          <w:left w:val="single" w:sz="4" w:space="4" w:color="000000"/>
          <w:bottom w:val="single" w:sz="4" w:space="1" w:color="000000"/>
          <w:right w:val="single" w:sz="4" w:space="4" w:color="000000"/>
        </w:pBdr>
        <w:spacing w:lineRule="auto" w:line="276" w:before="0" w:after="0"/>
        <w:rPr>
          <w:rFonts w:eastAsia="Arial Unicode MS" w:cs="Calibri"/>
          <w:b/>
          <w:b/>
          <w:bCs/>
          <w:sz w:val="24"/>
          <w:lang w:val="el-GR"/>
        </w:rPr>
      </w:pPr>
      <w:r>
        <w:rPr>
          <w:rFonts w:eastAsia="Arial Unicode MS" w:cs="Calibri"/>
          <w:b/>
          <w:bCs/>
          <w:sz w:val="24"/>
          <w:lang w:val="el-GR"/>
        </w:rPr>
        <w:t>Δ.Ο.Υ. : Δ΄ ΑΘΗΝΩΝ</w:t>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eastAsia="Arial Unicode MS" w:cs="Calibri"/>
          <w:bCs/>
          <w:sz w:val="24"/>
          <w:lang w:val="el-GR"/>
        </w:rPr>
        <w:t xml:space="preserve">Ο Ανάδοχος υποχρεούται να αποστέλλει τα τιμολόγια τόσο σε ηλεκτρονική μορφή, στην ηλεκτρονική διεύθυνση: </w:t>
      </w:r>
      <w:r>
        <w:rPr>
          <w:rFonts w:eastAsia="Arial Unicode MS" w:cs="Calibri"/>
          <w:b/>
          <w:bCs/>
          <w:sz w:val="24"/>
          <w:lang w:val="el-GR"/>
        </w:rPr>
        <w:t>pysy.thessalias@efka.gov.gr</w:t>
      </w:r>
      <w:r>
        <w:rPr>
          <w:rFonts w:eastAsia="Arial Unicode MS" w:cs="Calibri"/>
          <w:bCs/>
          <w:sz w:val="24"/>
          <w:lang w:val="el-GR"/>
        </w:rPr>
        <w:t>, όσο και σε έντυπη μορφή στην ταχυδρομική διεύθυνση:</w:t>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eastAsia="Arial Unicode MS" w:cs="Calibri"/>
          <w:b/>
          <w:bCs/>
          <w:sz w:val="24"/>
          <w:lang w:val="el-GR"/>
        </w:rPr>
        <w:t xml:space="preserve"> </w:t>
      </w:r>
      <w:r>
        <w:rPr>
          <w:rFonts w:eastAsia="Arial Unicode MS" w:cs="Calibri"/>
          <w:b/>
          <w:bCs/>
          <w:sz w:val="24"/>
          <w:lang w:val="el-GR"/>
        </w:rPr>
        <w:t>e-Ε.Φ.Κ.Α. /ΠΥΣΥ ΘΕΣΣΑΛΙΑΣ, Τμ. Συντονισμού και Υποστήριξης, Αγχιάλου &amp; Αγ. Τριάδος, Τ.Κ. 413 34, Λάρισα, 1ος όροφος, στα οποία θα αναγράφονται πέραν των ως άνω στοιχείων του Φορέα και τα στοιχεία της Σύμβασης (</w:t>
      </w:r>
      <w:r>
        <w:rPr>
          <w:rFonts w:eastAsia="Arial Unicode MS" w:cs="Tahoma"/>
          <w:b/>
          <w:bCs/>
          <w:sz w:val="24"/>
          <w:lang w:val="el-GR"/>
        </w:rPr>
        <w:t>αρ. πρωτοκόλλου της σύμβασης και χρονικό διάστημα παρεχόμενων υπηρεσιών).</w:t>
      </w:r>
    </w:p>
    <w:p>
      <w:pPr>
        <w:pStyle w:val="Standard"/>
        <w:spacing w:lineRule="auto" w:line="276"/>
        <w:jc w:val="both"/>
        <w:rPr>
          <w:rFonts w:ascii="Calibri" w:hAnsi="Calibri" w:eastAsia="Arial Unicode MS" w:cs="Calibri"/>
          <w:b/>
          <w:b/>
        </w:rPr>
      </w:pPr>
      <w:r>
        <w:rPr>
          <w:rFonts w:eastAsia="Arial Unicode MS" w:cs="Calibri" w:ascii="Calibri" w:hAnsi="Calibri"/>
          <w:b/>
        </w:rPr>
      </w:r>
    </w:p>
    <w:p>
      <w:pPr>
        <w:pStyle w:val="Standard"/>
        <w:spacing w:lineRule="auto" w:line="276"/>
        <w:jc w:val="both"/>
        <w:rPr>
          <w:rFonts w:ascii="Calibri" w:hAnsi="Calibri" w:eastAsia="Arial Unicode MS" w:cs="Calibri"/>
          <w:b/>
          <w:b/>
        </w:rPr>
      </w:pPr>
      <w:r>
        <w:rPr>
          <w:rFonts w:eastAsia="Arial Unicode MS" w:cs="Calibri" w:ascii="Calibri" w:hAnsi="Calibri"/>
          <w:b/>
        </w:rPr>
        <w:t xml:space="preserve">Σημειώνεται ότι το τιμολόγιο παροχής υπηρεσιών που αφορά την πρώτη πληρωμή θα εκδίδεται για το χρονικό διάστημα από την ημ/νία έναρξης της σύμβασης και μέχρι τη λήξη του συγκεκριμένου μήνα, και κάθε επόμενο θα εκδίδεται σε μηναία ημερολογιακή βάση. </w:t>
      </w:r>
    </w:p>
    <w:p>
      <w:pPr>
        <w:pStyle w:val="Normal"/>
        <w:spacing w:lineRule="auto" w:line="276"/>
        <w:rPr/>
      </w:pPr>
      <w:r>
        <w:rPr>
          <w:b/>
          <w:bCs/>
          <w:sz w:val="24"/>
          <w:lang w:val="el-GR"/>
        </w:rPr>
        <w:t>5.1.2.</w:t>
      </w:r>
      <w:r>
        <w:rPr>
          <w:sz w:val="24"/>
          <w:lang w:val="el-GR"/>
        </w:rPr>
        <w:t xml:space="preserve"> </w:t>
      </w:r>
      <w:r>
        <w:rPr>
          <w:sz w:val="24"/>
        </w:rPr>
        <w:t>To</w:t>
      </w:r>
      <w:r>
        <w:rPr>
          <w:sz w:val="24"/>
          <w:lang w:val="el-GR"/>
        </w:rPr>
        <w:t xml:space="preserve">ν Ανάδοχο βαρύνουν οι υπέρ τρίτων κρατήσεις, ως και κάθε άλλη επιβάρυνση, σύμφωνα με την κείμενη νομοθεσία, μη συμπ/νου Φ.Π.Α., για την παροχή της υπηρεσίας στον τόπο και με τον τρόπο που προβλέπεται στα έγγραφα της σύμβασης. Ιδίως βαρύνεται με τις ακόλουθες κρατήσεις: </w:t>
      </w:r>
    </w:p>
    <w:p>
      <w:pPr>
        <w:pStyle w:val="Normal"/>
        <w:spacing w:lineRule="auto" w:line="276"/>
        <w:rPr/>
      </w:pPr>
      <w:r>
        <w:rPr>
          <w:b/>
          <w:bCs/>
          <w:sz w:val="24"/>
          <w:lang w:val="el-GR"/>
        </w:rPr>
        <w:t>α)</w:t>
      </w:r>
      <w:r>
        <w:rPr>
          <w:sz w:val="24"/>
          <w:lang w:val="el-GR"/>
        </w:rPr>
        <w:t xml:space="preserve"> Κράτηση </w:t>
      </w:r>
      <w:r>
        <w:rPr>
          <w:b/>
          <w:bCs/>
          <w:sz w:val="24"/>
          <w:lang w:val="el-GR"/>
        </w:rPr>
        <w:t>0,10%</w:t>
      </w:r>
      <w:r>
        <w:rPr>
          <w:sz w:val="24"/>
          <w:lang w:val="el-GR"/>
        </w:rPr>
        <w:t xml:space="preserve"> υπέρ της </w:t>
      </w:r>
      <w:r>
        <w:rPr>
          <w:b/>
          <w:bCs/>
          <w:sz w:val="24"/>
        </w:rPr>
        <w:t> </w:t>
      </w:r>
      <w:r>
        <w:rPr>
          <w:b/>
          <w:bCs/>
          <w:sz w:val="24"/>
          <w:lang w:val="el-GR"/>
        </w:rPr>
        <w:t xml:space="preserve">Ενιαίας Αρχής Δημοσίων Συμβάσεων </w:t>
      </w:r>
      <w:r>
        <w:rPr>
          <w:sz w:val="24"/>
          <w:lang w:val="el-GR"/>
        </w:rPr>
        <w:t>(Ν.4912/2022, ΦΕΚ Α 59/17-03-2022) η οποία υπολογίζεται επί της αξίας κάθε πληρωμής προ φόρων και κρατήσεων της αρχικής, καθώς και κάθε συμπληρωματικής ή τροποποιητικής σύμβασης. Το ποσό της κράτησης παρακρατείται από την αναθέτουσα αρχή στο όνομα και για λογαριασμό της Ενιαίας Αρχής Δημοσίων Συμβάσεων (Ε.Α.ΔΗ.ΣΥ. ) και κατατίθεται σε ειδικό τραπεζικό λογαριασμό.</w:t>
      </w:r>
    </w:p>
    <w:p>
      <w:pPr>
        <w:pStyle w:val="Normal"/>
        <w:spacing w:lineRule="auto" w:line="276"/>
        <w:rPr/>
      </w:pPr>
      <w:r>
        <w:rPr>
          <w:b/>
          <w:bCs/>
          <w:sz w:val="24"/>
          <w:lang w:val="el-GR"/>
        </w:rPr>
        <w:t xml:space="preserve">β) </w:t>
      </w:r>
      <w:r>
        <w:rPr>
          <w:sz w:val="24"/>
          <w:lang w:val="el-GR"/>
        </w:rPr>
        <w:t xml:space="preserve">Κράτηση ύψους </w:t>
      </w:r>
      <w:r>
        <w:rPr>
          <w:b/>
          <w:bCs/>
          <w:sz w:val="24"/>
          <w:lang w:val="el-GR"/>
        </w:rPr>
        <w:t xml:space="preserve">0,02% </w:t>
      </w:r>
      <w:r>
        <w:rPr>
          <w:sz w:val="24"/>
          <w:lang w:val="el-GR"/>
        </w:rPr>
        <w:t>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παρ.6 του άρθρου 36 του ν.4412/2016.</w:t>
      </w:r>
    </w:p>
    <w:p>
      <w:pPr>
        <w:pStyle w:val="Normal"/>
        <w:spacing w:lineRule="auto" w:line="276"/>
        <w:rPr>
          <w:b/>
          <w:b/>
          <w:bCs/>
          <w:sz w:val="24"/>
          <w:lang w:val="el-GR"/>
        </w:rPr>
      </w:pPr>
      <w:r>
        <w:rPr>
          <w:b/>
          <w:bCs/>
          <w:sz w:val="24"/>
          <w:lang w:val="el-GR"/>
        </w:rPr>
        <w:t>Οι υπέρ τρίτων κρατήσεις υπόκεινται στο εκάστοτε ισχύον αναλογικό τέλος χαρτοσήμου 3% και επ’αυτού εισφορά υπέρ ΟΓΑ 20% .</w:t>
      </w:r>
    </w:p>
    <w:p>
      <w:pPr>
        <w:pStyle w:val="Normal"/>
        <w:spacing w:lineRule="auto" w:line="276"/>
        <w:rPr>
          <w:sz w:val="24"/>
          <w:lang w:val="el-GR"/>
        </w:rPr>
      </w:pPr>
      <w:r>
        <w:rPr>
          <w:sz w:val="24"/>
          <w:lang w:val="el-GR"/>
        </w:rPr>
        <w:t>Με κάθε πληρωμή θα γίνεται η προβλεπόμενη από την κείμενη νομοθεσία παρακράτηση φόρου εισοδήματος.</w:t>
      </w:r>
    </w:p>
    <w:p>
      <w:pPr>
        <w:pStyle w:val="2"/>
        <w:spacing w:lineRule="auto" w:line="276" w:before="0" w:after="0"/>
        <w:ind w:left="0" w:right="0" w:hanging="0"/>
        <w:rPr>
          <w:rFonts w:ascii="Calibri" w:hAnsi="Calibri" w:eastAsia="Arial Unicode MS" w:cs="Calibri"/>
          <w:sz w:val="24"/>
          <w:szCs w:val="24"/>
          <w:lang w:val="el-GR"/>
        </w:rPr>
      </w:pPr>
      <w:r>
        <w:rPr>
          <w:rFonts w:eastAsia="Arial Unicode MS" w:cs="Calibri" w:ascii="Calibri" w:hAnsi="Calibri"/>
          <w:sz w:val="24"/>
          <w:szCs w:val="24"/>
          <w:lang w:val="el-GR"/>
        </w:rPr>
      </w:r>
    </w:p>
    <w:p>
      <w:pPr>
        <w:pStyle w:val="2"/>
        <w:spacing w:lineRule="auto" w:line="276" w:before="0" w:after="0"/>
        <w:ind w:left="0" w:right="0" w:hanging="0"/>
        <w:rPr/>
      </w:pPr>
      <w:bookmarkStart w:id="175" w:name="__RefHeading___Toc35645_1890191151"/>
      <w:bookmarkStart w:id="176" w:name="_Toc127963090"/>
      <w:bookmarkStart w:id="177" w:name="_Toc492539486"/>
      <w:bookmarkEnd w:id="175"/>
      <w:r>
        <w:rPr>
          <w:rFonts w:eastAsia="Arial Unicode MS" w:cs="Calibri" w:ascii="Calibri" w:hAnsi="Calibri"/>
          <w:sz w:val="24"/>
          <w:szCs w:val="24"/>
          <w:lang w:val="el-GR"/>
        </w:rPr>
        <w:t>5.2</w:t>
        <w:tab/>
        <w:t>Κήρυξη οικονομικού φορέα εκπτώτου - Κυρώσεις</w:t>
      </w:r>
      <w:bookmarkEnd w:id="176"/>
      <w:bookmarkEnd w:id="177"/>
      <w:r>
        <w:rPr>
          <w:rFonts w:eastAsia="Arial Unicode MS" w:cs="Calibri" w:ascii="Calibri" w:hAnsi="Calibri"/>
          <w:sz w:val="24"/>
          <w:szCs w:val="24"/>
          <w:lang w:val="el-GR"/>
        </w:rPr>
        <w:t xml:space="preserve"> </w:t>
      </w:r>
    </w:p>
    <w:p>
      <w:pPr>
        <w:pStyle w:val="Normal"/>
        <w:suppressAutoHyphens w:val="false"/>
        <w:spacing w:lineRule="auto" w:line="276"/>
        <w:rPr/>
      </w:pPr>
      <w:r>
        <w:rPr>
          <w:rFonts w:eastAsia="Arial Unicode MS"/>
          <w:b/>
          <w:sz w:val="24"/>
          <w:lang w:val="el-GR"/>
        </w:rPr>
        <w:t>5.2.1.</w:t>
      </w:r>
      <w:r>
        <w:rPr>
          <w:rFonts w:eastAsia="Arial Unicode MS"/>
          <w:sz w:val="24"/>
          <w:lang w:val="el-GR"/>
        </w:rPr>
        <w:t xml:space="preserve"> </w:t>
      </w:r>
      <w:r>
        <w:rPr>
          <w:sz w:val="24"/>
          <w:lang w:val="el-GR"/>
        </w:rPr>
        <w:t xml:space="preserve">Ο ανάδοχος με την επιφύλαξη της συνδρομής λόγων ανωτέρας βίας, </w:t>
      </w:r>
      <w:r>
        <w:rPr>
          <w:b/>
          <w:sz w:val="24"/>
          <w:lang w:val="el-GR"/>
        </w:rPr>
        <w:t xml:space="preserve">στους οποίους δεν περιλαμβάνονται οι συνέπειες της πανδημίας του κορωνοϊού COVID-19 </w:t>
      </w:r>
      <w:r>
        <w:rPr>
          <w:sz w:val="24"/>
          <w:lang w:val="el-GR"/>
        </w:rPr>
        <w:t>διότι δεν συνιστούν απρόβλεπτα περιστατικά στα πλαίσια της παρούσας σύμβασης, κηρύσσεται υποχρεωτικά έκπτωτος</w:t>
      </w:r>
      <w:r>
        <w:rPr>
          <w:rStyle w:val="Style14"/>
          <w:rStyle w:val="Style14"/>
          <w:rFonts w:cs="Calibri"/>
          <w:sz w:val="24"/>
          <w:lang w:val="el-GR"/>
        </w:rPr>
        <w:footnoteReference w:id="87"/>
      </w:r>
      <w:r>
        <w:rPr>
          <w:sz w:val="24"/>
          <w:lang w:val="el-GR"/>
        </w:rPr>
        <w:t xml:space="preserve"> από τη σύμβαση και από κάθε δικαίωμα που απορρέει από αυτήν:</w:t>
      </w:r>
    </w:p>
    <w:p>
      <w:pPr>
        <w:pStyle w:val="Normal"/>
        <w:suppressAutoHyphens w:val="false"/>
        <w:spacing w:lineRule="auto" w:line="276"/>
        <w:rPr>
          <w:sz w:val="24"/>
          <w:lang w:val="el-GR"/>
        </w:rPr>
      </w:pPr>
      <w:r>
        <w:rPr>
          <w:sz w:val="24"/>
          <w:lang w:val="el-GR"/>
        </w:rPr>
        <w:t>α) στην περίπτωση της παρ. 7 του άρθρου 105 περί κατακύρωσης και σύναψης σύμβασης,</w:t>
      </w:r>
    </w:p>
    <w:p>
      <w:pPr>
        <w:pStyle w:val="Normal"/>
        <w:suppressAutoHyphens w:val="false"/>
        <w:spacing w:lineRule="auto" w:line="276"/>
        <w:rPr>
          <w:sz w:val="24"/>
          <w:lang w:val="el-GR"/>
        </w:rPr>
      </w:pPr>
      <w:r>
        <w:rPr>
          <w:sz w:val="24"/>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pPr>
        <w:pStyle w:val="Normal"/>
        <w:suppressAutoHyphens w:val="false"/>
        <w:spacing w:lineRule="auto" w:line="276"/>
        <w:rPr/>
      </w:pPr>
      <w:r>
        <w:rPr>
          <w:sz w:val="24"/>
          <w:lang w:val="el-GR"/>
        </w:rPr>
        <w:t xml:space="preserve">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και </w:t>
      </w:r>
      <w:r>
        <w:rPr>
          <w:b/>
          <w:sz w:val="24"/>
          <w:lang w:val="el-GR"/>
        </w:rPr>
        <w:t xml:space="preserve">στο ΠΑΡΑΡΤΗΜΑ </w:t>
      </w:r>
      <w:r>
        <w:rPr>
          <w:b/>
          <w:sz w:val="24"/>
          <w:lang w:val="en-US"/>
        </w:rPr>
        <w:t>II</w:t>
      </w:r>
      <w:r>
        <w:rPr>
          <w:b/>
          <w:sz w:val="24"/>
          <w:lang w:val="el-GR"/>
        </w:rPr>
        <w:t xml:space="preserve"> της παρούσας</w:t>
      </w:r>
      <w:r>
        <w:rPr>
          <w:sz w:val="24"/>
          <w:lang w:val="el-GR"/>
        </w:rPr>
        <w:t>, με την επιφύλαξη της επόμενης παραγράφου.</w:t>
      </w:r>
    </w:p>
    <w:p>
      <w:pPr>
        <w:pStyle w:val="Normal"/>
        <w:suppressAutoHyphens w:val="false"/>
        <w:spacing w:lineRule="auto" w:line="276"/>
        <w:rPr/>
      </w:pPr>
      <w:r>
        <w:rPr>
          <w:b/>
          <w:sz w:val="24"/>
          <w:lang w:val="el-GR"/>
        </w:rPr>
        <w:t>Στην περίπτωση συνδρομής λόγου έκπτωσης του αναδόχου από σύμβαση</w:t>
      </w:r>
      <w:r>
        <w:rPr>
          <w:sz w:val="24"/>
          <w:lang w:val="el-GR"/>
        </w:rPr>
        <w:t xml:space="preserve"> κατά την ως άνω περίπτωση γ, </w:t>
      </w:r>
      <w:r>
        <w:rPr>
          <w:b/>
          <w:sz w:val="24"/>
          <w:lang w:val="el-GR"/>
        </w:rPr>
        <w:t>η αναθέτουσα αρχή κοινοποιεί στον ανάδοχο ειδική όχληση</w:t>
      </w:r>
      <w:r>
        <w:rPr>
          <w:sz w:val="24"/>
          <w:lang w:val="el-GR"/>
        </w:rPr>
        <w:t>, η οποία μνημονεύει τις διατάξεις του άρθρου 203 του ν. 4412/2016</w:t>
      </w:r>
      <w:r>
        <w:rPr>
          <w:rStyle w:val="Style14"/>
          <w:rStyle w:val="Style14"/>
          <w:rFonts w:cs="Calibri"/>
          <w:sz w:val="24"/>
        </w:rPr>
        <w:footnoteReference w:id="88"/>
      </w:r>
      <w:r>
        <w:rPr>
          <w:sz w:val="24"/>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η οποία θα είναι εύλογη και ανάλογη της διάρκειας της σύμβασης και πάντως όχι μικρότερη των δεκαπέντε (15) ημερών από την κοινοποίηση της ανωτέρω όχλησης. </w:t>
      </w:r>
    </w:p>
    <w:p>
      <w:pPr>
        <w:pStyle w:val="Normal"/>
        <w:suppressAutoHyphens w:val="false"/>
        <w:spacing w:lineRule="auto" w:line="276"/>
        <w:rPr/>
      </w:pPr>
      <w:r>
        <w:rPr>
          <w:sz w:val="24"/>
          <w:lang w:val="el-GR"/>
        </w:rPr>
        <w:t xml:space="preserve">Αν η προθεσμία που τεθεί με την ειδική όχληση, παρέλθει χωρίς ο ανάδοχος να συμμορφωθεί, </w:t>
      </w:r>
      <w:r>
        <w:rPr>
          <w:b/>
          <w:sz w:val="24"/>
          <w:lang w:val="el-GR"/>
        </w:rPr>
        <w:t>κηρύσσεται έκπτωτος</w:t>
      </w:r>
      <w:r>
        <w:rPr>
          <w:sz w:val="24"/>
          <w:lang w:val="el-GR"/>
        </w:rPr>
        <w:t xml:space="preserve"> μέσα σε προθεσμία τριάντα (30) ημερών από την άπρακτη πάροδο της προθεσμίας συμμόρφωσης, με απόφαση της αναθέτουσας αρχής.</w:t>
      </w:r>
    </w:p>
    <w:p>
      <w:pPr>
        <w:pStyle w:val="Normal"/>
        <w:suppressAutoHyphens w:val="false"/>
        <w:spacing w:lineRule="auto" w:line="276"/>
        <w:rPr/>
      </w:pPr>
      <w:r>
        <w:rPr>
          <w:b/>
          <w:sz w:val="24"/>
          <w:lang w:val="el-GR"/>
        </w:rPr>
        <w:t>Ο ανάδοχος δεν κηρύσσεται έκπτωτος</w:t>
      </w:r>
      <w:r>
        <w:rPr>
          <w:sz w:val="24"/>
          <w:lang w:val="el-GR"/>
        </w:rPr>
        <w:t xml:space="preserve"> για λόγους που αφορούν σε υπαιτιότητα του φορέα εκτέλεσης της σύμβασης ή αν συντρέχουν λόγοι ανωτέρας βίας.</w:t>
      </w:r>
    </w:p>
    <w:p>
      <w:pPr>
        <w:pStyle w:val="Normal"/>
        <w:suppressAutoHyphens w:val="false"/>
        <w:spacing w:lineRule="auto" w:line="276"/>
        <w:rPr/>
      </w:pPr>
      <w:r>
        <w:rPr>
          <w:sz w:val="24"/>
          <w:lang w:val="el-GR"/>
        </w:rPr>
        <w:t>Στον ανάδοχο</w:t>
      </w:r>
      <w:r>
        <w:rPr>
          <w:b/>
          <w:sz w:val="24"/>
          <w:lang w:val="el-GR"/>
        </w:rPr>
        <w:t>, που κηρύσσεται έκπτωτος από τη σύμβαση</w:t>
      </w:r>
      <w:r>
        <w:rPr>
          <w:sz w:val="24"/>
          <w:lang w:val="el-GR"/>
        </w:rPr>
        <w:t>,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pPr>
        <w:pStyle w:val="Normal"/>
        <w:suppressAutoHyphens w:val="false"/>
        <w:spacing w:lineRule="auto" w:line="276"/>
        <w:rPr>
          <w:sz w:val="24"/>
          <w:lang w:val="el-GR"/>
        </w:rPr>
      </w:pPr>
      <w:r>
        <w:rPr>
          <w:sz w:val="24"/>
          <w:lang w:val="el-GR"/>
        </w:rPr>
        <w:t>α) ολική κατάπτωση της εγγύησης καλής εκτέλεσης της σύμβασης,</w:t>
      </w:r>
    </w:p>
    <w:p>
      <w:pPr>
        <w:pStyle w:val="Normal"/>
        <w:suppressAutoHyphens w:val="false"/>
        <w:spacing w:lineRule="auto" w:line="276"/>
        <w:rPr/>
      </w:pPr>
      <w:r>
        <w:rPr>
          <w:sz w:val="24"/>
          <w:lang w:val="el-GR"/>
        </w:rPr>
        <w:t>β) 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r>
        <w:rPr>
          <w:rFonts w:eastAsia="Arial Unicode MS"/>
          <w:sz w:val="24"/>
          <w:lang w:val="el-GR"/>
        </w:rPr>
        <w:t>.</w:t>
      </w:r>
    </w:p>
    <w:p>
      <w:pPr>
        <w:pStyle w:val="Normal"/>
        <w:suppressAutoHyphens w:val="false"/>
        <w:spacing w:lineRule="auto" w:line="276" w:before="120" w:after="0"/>
        <w:rPr/>
      </w:pPr>
      <w:r>
        <w:rPr>
          <w:rFonts w:eastAsia="Arial Unicode MS"/>
          <w:b/>
          <w:sz w:val="24"/>
          <w:lang w:val="el-GR"/>
        </w:rPr>
        <w:t xml:space="preserve">5.2.2. </w:t>
      </w:r>
      <w:r>
        <w:rPr>
          <w:rFonts w:eastAsia="Arial Unicode MS"/>
          <w:sz w:val="24"/>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pPr>
        <w:pStyle w:val="Normal"/>
        <w:suppressAutoHyphens w:val="false"/>
        <w:spacing w:lineRule="auto" w:line="276" w:before="120" w:after="0"/>
        <w:rPr>
          <w:rFonts w:eastAsia="Arial Unicode MS"/>
          <w:sz w:val="24"/>
          <w:u w:val="single"/>
          <w:lang w:val="el-GR"/>
        </w:rPr>
      </w:pPr>
      <w:r>
        <w:rPr>
          <w:rFonts w:eastAsia="Arial Unicode MS"/>
          <w:sz w:val="24"/>
          <w:u w:val="single"/>
          <w:lang w:val="el-GR"/>
        </w:rPr>
        <w:t>Οι ποινικές ρήτρες υπολογίζονται ως εξής:</w:t>
      </w:r>
    </w:p>
    <w:p>
      <w:pPr>
        <w:pStyle w:val="Normal"/>
        <w:suppressAutoHyphens w:val="false"/>
        <w:spacing w:lineRule="auto" w:line="276" w:before="120" w:after="0"/>
        <w:rPr>
          <w:rFonts w:eastAsia="Arial Unicode MS"/>
          <w:sz w:val="24"/>
          <w:lang w:val="el-GR"/>
        </w:rPr>
      </w:pPr>
      <w:r>
        <w:rPr>
          <w:rFonts w:eastAsia="Arial Unicode MS"/>
          <w:sz w:val="24"/>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pPr>
        <w:pStyle w:val="Normal"/>
        <w:suppressAutoHyphens w:val="false"/>
        <w:spacing w:lineRule="auto" w:line="276" w:before="120" w:after="0"/>
        <w:rPr>
          <w:rFonts w:eastAsia="Arial Unicode MS"/>
          <w:sz w:val="24"/>
          <w:lang w:val="el-GR"/>
        </w:rPr>
      </w:pPr>
      <w:r>
        <w:rPr>
          <w:rFonts w:eastAsia="Arial Unicode MS"/>
          <w:sz w:val="24"/>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pPr>
        <w:pStyle w:val="Normal"/>
        <w:suppressAutoHyphens w:val="false"/>
        <w:spacing w:lineRule="auto" w:line="276" w:before="120" w:after="0"/>
        <w:rPr>
          <w:rFonts w:eastAsia="Arial Unicode MS"/>
          <w:sz w:val="24"/>
          <w:lang w:val="el-GR"/>
        </w:rPr>
      </w:pPr>
      <w:r>
        <w:rPr>
          <w:rFonts w:eastAsia="Arial Unicode MS"/>
          <w:sz w:val="24"/>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pPr>
        <w:pStyle w:val="Standard"/>
        <w:overflowPunct w:val="true"/>
        <w:spacing w:lineRule="auto" w:line="276"/>
        <w:jc w:val="both"/>
        <w:rPr/>
      </w:pPr>
      <w:r>
        <w:rPr>
          <w:rFonts w:eastAsia="Arial Unicode MS" w:cs="Tahoma" w:ascii="Calibri" w:hAnsi="Calibri"/>
          <w:kern w:val="0"/>
          <w:lang w:bidi="ar-SA"/>
        </w:rPr>
        <w:t xml:space="preserve">δ) </w:t>
      </w:r>
      <w:r>
        <w:rPr>
          <w:rFonts w:eastAsia="Times New Roman" w:cs="Tahoma" w:ascii="Calibri" w:hAnsi="Calibri"/>
          <w:lang w:eastAsia="el-GR"/>
        </w:rPr>
        <w:t xml:space="preserve">Σε περίπτωση καθυστέρησης παροχής των υπηρεσιών, ισχύουν τα αναφερόμενα στην παρ. 2 του άρθρου 218 του ν.4412/16. </w:t>
      </w:r>
      <w:r>
        <w:rPr>
          <w:rFonts w:eastAsia="Times New Roman" w:cs="Tahoma" w:ascii="Calibri" w:hAnsi="Calibri"/>
          <w:b/>
          <w:lang w:eastAsia="el-GR"/>
        </w:rPr>
        <w:t xml:space="preserve">Για πλημμελή εκτέλεση των συμβατικών υποχρεώσεων του Αναδόχου, </w:t>
      </w:r>
      <w:r>
        <w:rPr>
          <w:rFonts w:cs="Tahoma" w:ascii="Calibri" w:hAnsi="Calibri"/>
          <w:b/>
        </w:rPr>
        <w:t xml:space="preserve">θα επιβάλλεται ποινική ρήτρα ίση με ποσοστό 3% επί της μηνιαίας δαπάνης του Κτιρίου στο οποίο διαπιστώθηκε η πλημμέλεια. Το ποσοστό αυτό θα αφαιρείται από τη μηνιαία αμοιβή του </w:t>
      </w:r>
      <w:r>
        <w:rPr>
          <w:rFonts w:cs="Tahoma" w:ascii="Calibri" w:hAnsi="Calibri"/>
          <w:b/>
          <w:color w:val="000000"/>
        </w:rPr>
        <w:t>Αναδόχου.</w:t>
      </w:r>
    </w:p>
    <w:p>
      <w:pPr>
        <w:pStyle w:val="Normal"/>
        <w:suppressAutoHyphens w:val="false"/>
        <w:spacing w:lineRule="auto" w:line="276" w:before="0" w:after="0"/>
        <w:rPr>
          <w:rFonts w:eastAsia="Arial Unicode MS" w:cs="Tahoma"/>
          <w:sz w:val="24"/>
          <w:lang w:val="el-GR"/>
        </w:rPr>
      </w:pPr>
      <w:r>
        <w:rPr>
          <w:rFonts w:eastAsia="Arial Unicode MS" w:cs="Tahoma"/>
          <w:sz w:val="24"/>
          <w:lang w:val="el-GR"/>
        </w:rPr>
        <w:t>Το ποσό των ποινικών ρητρών αφαιρείται/συμψηφίζεται από/με την αμοιβή του αναδόχου.</w:t>
      </w:r>
    </w:p>
    <w:p>
      <w:pPr>
        <w:pStyle w:val="Normal"/>
        <w:suppressAutoHyphens w:val="false"/>
        <w:spacing w:lineRule="auto" w:line="276" w:before="0" w:after="0"/>
        <w:rPr>
          <w:rFonts w:eastAsia="Arial Unicode MS" w:cs="Tahoma"/>
          <w:sz w:val="24"/>
          <w:lang w:val="el-GR"/>
        </w:rPr>
      </w:pPr>
      <w:r>
        <w:rPr>
          <w:rFonts w:eastAsia="Arial Unicode MS" w:cs="Tahoma"/>
          <w:sz w:val="24"/>
          <w:lang w:val="el-GR"/>
        </w:rPr>
        <w:t>Η επιβολή ποινικών ρητρών δεν στερεί από την αναθέτουσα αρχή το δικαίωμα να κηρύξει τον ανάδοχο έκπτωτο.</w:t>
      </w:r>
    </w:p>
    <w:p>
      <w:pPr>
        <w:pStyle w:val="Normal"/>
        <w:suppressAutoHyphens w:val="false"/>
        <w:spacing w:lineRule="auto" w:line="276" w:before="0" w:after="0"/>
        <w:rPr>
          <w:rFonts w:eastAsia="Arial Unicode MS" w:cs="Tahoma"/>
          <w:sz w:val="24"/>
          <w:lang w:val="el-GR"/>
        </w:rPr>
      </w:pPr>
      <w:r>
        <w:rPr>
          <w:rFonts w:eastAsia="Arial Unicode MS" w:cs="Tahoma"/>
          <w:sz w:val="24"/>
          <w:lang w:val="el-GR"/>
        </w:rPr>
      </w:r>
    </w:p>
    <w:p>
      <w:pPr>
        <w:pStyle w:val="2"/>
        <w:spacing w:lineRule="auto" w:line="276" w:before="0" w:after="0"/>
        <w:ind w:left="207" w:right="0" w:hanging="207"/>
        <w:rPr>
          <w:rFonts w:ascii="Calibri" w:hAnsi="Calibri" w:eastAsia="Arial Unicode MS" w:cs="Calibri"/>
          <w:sz w:val="24"/>
          <w:szCs w:val="24"/>
          <w:lang w:val="el-GR"/>
        </w:rPr>
      </w:pPr>
      <w:bookmarkStart w:id="178" w:name="__RefHeading___Toc35647_1890191151"/>
      <w:bookmarkStart w:id="179" w:name="_Toc492539487"/>
      <w:bookmarkStart w:id="180" w:name="_Toc127963091"/>
      <w:bookmarkEnd w:id="178"/>
      <w:r>
        <w:rPr>
          <w:rFonts w:eastAsia="Arial Unicode MS" w:cs="Calibri" w:ascii="Calibri" w:hAnsi="Calibri"/>
          <w:sz w:val="24"/>
          <w:szCs w:val="24"/>
          <w:lang w:val="el-GR"/>
        </w:rPr>
        <w:t>5.3</w:t>
        <w:tab/>
        <w:t xml:space="preserve">   Διοικητικές προσφυγές κατά τη διαδικασία εκτέλεσης της Σύμβασης</w:t>
      </w:r>
      <w:bookmarkEnd w:id="179"/>
      <w:bookmarkEnd w:id="180"/>
    </w:p>
    <w:p>
      <w:pPr>
        <w:pStyle w:val="Normal"/>
        <w:spacing w:lineRule="auto" w:line="276" w:before="120" w:after="0"/>
        <w:rPr>
          <w:rFonts w:eastAsia="Arial Unicode MS"/>
          <w:sz w:val="24"/>
          <w:lang w:val="el-GR"/>
        </w:rPr>
      </w:pPr>
      <w:r>
        <w:rPr>
          <w:rFonts w:eastAsia="Arial Unicode MS"/>
          <w:sz w:val="24"/>
          <w:lang w:val="el-GR"/>
        </w:rPr>
        <w:t>Ο ανάδοχος μπορεί κατά των αποφάσεων που επιβάλλουν σε βάρος του κυρώσεις, δυνάμει των όρων του άρθρου 5.2 (Κήρυξη οικονομικού φορέα εκπτώτου – Κυρώσεις), 6.2 (Διάρκεια Σύμβασης), 6.4 (Απόρριψη παραδοτέων – αντικατάσταση), καθώς και κατ΄ εφαρμογή των συμβατικών όρων να ασκήσει προσφυγή για λόγους νομιμότητας και ουσίας ενώπιον της αναθέτουσας αρχής ή του φορέα που εκτελεί τη σύμβαση, μέσα σε ανατρεπτική προθεσμία τριάντα (30) ημερών από την ημερομηνία της κοινοποίησης ή της πλήρους γνώσης της σχετικής απόφασης.</w:t>
      </w:r>
    </w:p>
    <w:p>
      <w:pPr>
        <w:pStyle w:val="Normal"/>
        <w:spacing w:lineRule="auto" w:line="276" w:before="120" w:after="0"/>
        <w:rPr>
          <w:rFonts w:eastAsia="Arial Unicode MS"/>
          <w:sz w:val="24"/>
          <w:lang w:val="el-GR"/>
        </w:rPr>
      </w:pPr>
      <w:r>
        <w:rPr>
          <w:rFonts w:eastAsia="Arial Unicode MS"/>
          <w:sz w:val="24"/>
          <w:lang w:val="el-GR"/>
        </w:rPr>
        <w:t xml:space="preserve">Η εμπρόθεσμη άσκηση της προσφυγής αναστέλλει τις επιβαλλόμενες κυρώσεις. </w:t>
      </w:r>
    </w:p>
    <w:p>
      <w:pPr>
        <w:pStyle w:val="Normal"/>
        <w:spacing w:lineRule="auto" w:line="276" w:before="120" w:after="0"/>
        <w:rPr>
          <w:rFonts w:eastAsia="Arial Unicode MS"/>
          <w:sz w:val="24"/>
          <w:lang w:val="el-GR"/>
        </w:rPr>
      </w:pPr>
      <w:r>
        <w:rPr>
          <w:rFonts w:eastAsia="Arial Unicode MS"/>
          <w:sz w:val="24"/>
          <w:lang w:val="el-GR"/>
        </w:rPr>
        <w:t xml:space="preserve">Επί της προσφυγής, αποφασίζει το αρμοδίως αποφαινόμενο όργανο, ύστερα από γνωμοδότηση του προβλεπόμενου στην περίπτωση δ της παρ.11 του αρ.221 του Ν.4412/16, οργάνου, εντός προθεσμίας τριάντα (30) ημερών από την άσκησή της, άλλως θεωρείται ως σιωπηρώς απορριφθείσα. </w:t>
      </w:r>
    </w:p>
    <w:p>
      <w:pPr>
        <w:pStyle w:val="Normal"/>
        <w:spacing w:lineRule="auto" w:line="276" w:before="120" w:after="0"/>
        <w:rPr>
          <w:rFonts w:eastAsia="Arial Unicode MS"/>
          <w:sz w:val="24"/>
          <w:lang w:val="el-GR"/>
        </w:rPr>
      </w:pPr>
      <w:r>
        <w:rPr>
          <w:rFonts w:eastAsia="Arial Unicode MS"/>
          <w:sz w:val="24"/>
          <w:lang w:val="el-GR"/>
        </w:rPr>
        <w:t xml:space="preserve">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w:t>
      </w:r>
    </w:p>
    <w:p>
      <w:pPr>
        <w:pStyle w:val="Normal"/>
        <w:spacing w:lineRule="auto" w:line="276" w:before="120" w:after="0"/>
        <w:rPr>
          <w:rFonts w:eastAsia="Arial Unicode MS"/>
          <w:sz w:val="24"/>
          <w:lang w:val="el-GR"/>
        </w:rPr>
      </w:pPr>
      <w:r>
        <w:rPr>
          <w:rFonts w:eastAsia="Arial Unicode MS"/>
          <w:sz w:val="24"/>
          <w:lang w:val="el-GR"/>
        </w:rPr>
        <w:t>Αν ασκηθεί εμπρόθεσμα προσφυγή, αναστέλλονται οι συνέπειες της απόφασης μέχρι αυτή να οριστικοποιηθεί.</w:t>
      </w:r>
    </w:p>
    <w:p>
      <w:pPr>
        <w:pStyle w:val="Normal"/>
        <w:spacing w:lineRule="auto" w:line="276" w:before="0" w:after="0"/>
        <w:rPr>
          <w:rFonts w:eastAsia="Arial Unicode MS"/>
          <w:sz w:val="24"/>
          <w:lang w:val="el-GR"/>
        </w:rPr>
      </w:pPr>
      <w:r>
        <w:rPr>
          <w:rFonts w:eastAsia="Arial Unicode MS"/>
          <w:sz w:val="24"/>
          <w:lang w:val="el-GR"/>
        </w:rPr>
      </w:r>
    </w:p>
    <w:p>
      <w:pPr>
        <w:pStyle w:val="2"/>
        <w:spacing w:lineRule="auto" w:line="276" w:before="0" w:after="0"/>
        <w:ind w:left="567" w:right="0" w:hanging="567"/>
        <w:rPr>
          <w:rFonts w:ascii="Calibri" w:hAnsi="Calibri" w:eastAsia="Arial Unicode MS" w:cs="Calibri"/>
          <w:sz w:val="24"/>
          <w:szCs w:val="24"/>
          <w:lang w:val="el-GR"/>
        </w:rPr>
      </w:pPr>
      <w:bookmarkStart w:id="181" w:name="__RefHeading___Toc35649_1890191151"/>
      <w:bookmarkStart w:id="182" w:name="_Toc127963092"/>
      <w:bookmarkEnd w:id="181"/>
      <w:r>
        <w:rPr>
          <w:rFonts w:eastAsia="Arial Unicode MS" w:cs="Calibri" w:ascii="Calibri" w:hAnsi="Calibri"/>
          <w:sz w:val="24"/>
          <w:szCs w:val="24"/>
          <w:lang w:val="el-GR"/>
        </w:rPr>
        <w:t>5.4</w:t>
        <w:tab/>
        <w:t>Δικαστική επίλυση διαφορών</w:t>
      </w:r>
      <w:bookmarkEnd w:id="182"/>
    </w:p>
    <w:p>
      <w:pPr>
        <w:pStyle w:val="Normal"/>
        <w:spacing w:lineRule="auto" w:line="276" w:before="120" w:after="120"/>
        <w:rPr/>
      </w:pPr>
      <w:r>
        <w:rPr>
          <w:sz w:val="24"/>
          <w:lang w:val="el-GR"/>
        </w:rPr>
        <w:t>Κάθε διαφορά μεταξύ των συμβαλλόμενων μερών που προκύπτει από τις συμβάσεις που συνάπτονται στο πλαίσιο της παρούσας διακήρυξης,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Pr>
          <w:rStyle w:val="Style14"/>
          <w:rStyle w:val="Style14"/>
          <w:rFonts w:cs="Calibri"/>
          <w:sz w:val="24"/>
          <w:lang w:val="el-GR"/>
        </w:rPr>
        <w:footnoteReference w:id="89"/>
      </w:r>
      <w:r>
        <w:rPr>
          <w:sz w:val="24"/>
          <w:lang w:val="el-GR"/>
        </w:rPr>
        <w:t xml:space="preserve">. </w:t>
      </w:r>
    </w:p>
    <w:p>
      <w:pPr>
        <w:pStyle w:val="Normal"/>
        <w:spacing w:lineRule="auto" w:line="276" w:before="0" w:after="0"/>
        <w:rPr>
          <w:sz w:val="24"/>
          <w:lang w:val="el-GR"/>
        </w:rPr>
      </w:pPr>
      <w:r>
        <w:rPr>
          <w:sz w:val="24"/>
          <w:lang w:val="el-GR"/>
        </w:rPr>
        <w:t xml:space="preserve">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w:t>
      </w:r>
    </w:p>
    <w:p>
      <w:pPr>
        <w:pStyle w:val="Normal"/>
        <w:spacing w:lineRule="auto" w:line="276" w:before="0" w:after="0"/>
        <w:rPr>
          <w:sz w:val="24"/>
          <w:lang w:val="el-GR"/>
        </w:rPr>
      </w:pPr>
      <w:r>
        <w:rPr>
          <w:sz w:val="24"/>
          <w:lang w:val="el-GR"/>
        </w:rPr>
        <w:t xml:space="preserve">Αν ο ανάδοχος της σύμβασης είναι κοινοπραξία, η προσφυγή ασκείται είτε από την ίδια είτε από όλα τα μέλη της. </w:t>
      </w:r>
    </w:p>
    <w:p>
      <w:pPr>
        <w:pStyle w:val="Normal"/>
        <w:spacing w:lineRule="auto" w:line="276" w:before="120" w:after="120"/>
        <w:rPr>
          <w:rFonts w:eastAsia="Arial Unicode MS" w:cs="Calibri"/>
          <w:sz w:val="24"/>
          <w:lang w:val="el-GR"/>
        </w:rPr>
      </w:pPr>
      <w:r>
        <w:rPr>
          <w:rFonts w:eastAsia="Arial Unicode MS" w:cs="Calibri"/>
          <w:sz w:val="24"/>
          <w:lang w:val="el-GR"/>
        </w:rPr>
        <w:t>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pPr>
        <w:pStyle w:val="Normal"/>
        <w:spacing w:lineRule="auto" w:line="276" w:before="0" w:after="0"/>
        <w:rPr>
          <w:rFonts w:ascii="Calibri" w:hAnsi="Calibri" w:eastAsia="Arial Unicode MS" w:cs="Calibri"/>
          <w:sz w:val="24"/>
          <w:lang w:val="el-GR"/>
        </w:rPr>
      </w:pPr>
      <w:r>
        <w:rPr>
          <w:rFonts w:eastAsia="Arial Unicode MS" w:cs="Calibri"/>
          <w:sz w:val="24"/>
          <w:lang w:val="el-GR"/>
        </w:rPr>
      </w:r>
    </w:p>
    <w:p>
      <w:pPr>
        <w:pStyle w:val="1"/>
        <w:tabs>
          <w:tab w:val="clear" w:pos="720"/>
          <w:tab w:val="left" w:pos="851" w:leader="none"/>
        </w:tabs>
        <w:spacing w:lineRule="auto" w:line="276" w:before="0" w:after="0"/>
        <w:ind w:left="491" w:right="0" w:hanging="851"/>
        <w:rPr/>
      </w:pPr>
      <w:bookmarkStart w:id="183" w:name="__RefHeading___Toc35651_1890191151"/>
      <w:bookmarkStart w:id="184" w:name="_Toc58242691"/>
      <w:bookmarkEnd w:id="183"/>
      <w:r>
        <w:rPr>
          <w:rFonts w:eastAsia="Arial Unicode MS" w:cs="Calibri" w:ascii="Calibri" w:hAnsi="Calibri"/>
          <w:sz w:val="24"/>
          <w:szCs w:val="24"/>
          <w:lang w:val="el-GR"/>
        </w:rPr>
        <w:t>6.</w:t>
        <w:tab/>
        <w:t>ΕΙΔΙΚΟΙ ΟΡΟΙ ΕΚΤΕΛΕΣΗΣ</w:t>
      </w:r>
      <w:bookmarkEnd w:id="184"/>
      <w:r>
        <w:rPr>
          <w:rFonts w:eastAsia="Arial Unicode MS" w:cs="Calibri" w:ascii="Calibri" w:hAnsi="Calibri"/>
          <w:sz w:val="24"/>
          <w:szCs w:val="24"/>
          <w:lang w:val="el-GR"/>
        </w:rPr>
        <w:t xml:space="preserve"> -ΧΡΟΝΟΣ ΚΑΙ ΤΟΠΟΣ ΕΚΤΕΛΕΣΗΣ</w:t>
      </w:r>
    </w:p>
    <w:p>
      <w:pPr>
        <w:pStyle w:val="2"/>
        <w:spacing w:lineRule="auto" w:line="276" w:before="0" w:after="0"/>
        <w:ind w:left="0" w:right="0" w:hanging="0"/>
        <w:rPr/>
      </w:pPr>
      <w:bookmarkStart w:id="185" w:name="__RefHeading___Toc35653_1890191151"/>
      <w:bookmarkStart w:id="186" w:name="_Toc58242692"/>
      <w:bookmarkStart w:id="187" w:name="_Toc13748953"/>
      <w:bookmarkEnd w:id="185"/>
      <w:r>
        <w:rPr>
          <w:rFonts w:eastAsia="Arial Unicode MS" w:cs="Calibri" w:ascii="Calibri" w:hAnsi="Calibri"/>
          <w:sz w:val="24"/>
          <w:szCs w:val="24"/>
          <w:lang w:val="el-GR"/>
        </w:rPr>
        <w:t xml:space="preserve">6.1 </w:t>
        <w:tab/>
        <w:t>Παρακολούθηση της σύμβασης</w:t>
      </w:r>
      <w:bookmarkEnd w:id="186"/>
      <w:bookmarkEnd w:id="187"/>
      <w:r>
        <w:rPr>
          <w:rFonts w:eastAsia="Arial Unicode MS" w:cs="Calibri" w:ascii="Calibri" w:hAnsi="Calibri"/>
          <w:sz w:val="24"/>
          <w:szCs w:val="24"/>
          <w:lang w:val="el-GR"/>
        </w:rPr>
        <w:t xml:space="preserve"> </w:t>
      </w:r>
    </w:p>
    <w:p>
      <w:pPr>
        <w:pStyle w:val="Standard"/>
        <w:spacing w:lineRule="auto" w:line="276"/>
        <w:jc w:val="both"/>
        <w:rPr>
          <w:rFonts w:ascii="Calibri" w:hAnsi="Calibri" w:eastAsia="Arial Unicode MS" w:cs="Tahoma"/>
          <w:color w:val="000000"/>
          <w:kern w:val="2"/>
          <w:sz w:val="24"/>
          <w:szCs w:val="24"/>
          <w:lang w:eastAsia="ar-SA" w:bidi="hi-IN"/>
        </w:rPr>
      </w:pPr>
      <w:r>
        <w:rPr>
          <w:rFonts w:eastAsia="Arial Unicode MS" w:cs="Tahoma" w:ascii="Calibri" w:hAnsi="Calibri"/>
          <w:color w:val="000000"/>
          <w:kern w:val="2"/>
          <w:sz w:val="24"/>
          <w:szCs w:val="24"/>
          <w:lang w:eastAsia="ar-SA" w:bidi="hi-IN"/>
        </w:rPr>
        <w:t xml:space="preserve"> </w:t>
      </w:r>
    </w:p>
    <w:p>
      <w:pPr>
        <w:pStyle w:val="Standard"/>
        <w:spacing w:lineRule="auto" w:line="276"/>
        <w:jc w:val="both"/>
        <w:rPr>
          <w:rFonts w:ascii="Calibri" w:hAnsi="Calibri" w:eastAsia="Arial Unicode MS" w:cs="Tahoma"/>
          <w:b/>
          <w:b/>
          <w:bCs/>
          <w:color w:val="000000"/>
          <w:kern w:val="2"/>
          <w:sz w:val="24"/>
          <w:szCs w:val="24"/>
          <w:lang w:eastAsia="ar-SA" w:bidi="hi-IN"/>
        </w:rPr>
      </w:pPr>
      <w:r>
        <w:rPr>
          <w:rFonts w:eastAsia="Arial Unicode MS" w:cs="Tahoma" w:ascii="Calibri" w:hAnsi="Calibri"/>
          <w:b/>
          <w:bCs/>
          <w:color w:val="000000"/>
          <w:kern w:val="2"/>
          <w:sz w:val="24"/>
          <w:szCs w:val="24"/>
          <w:lang w:eastAsia="ar-SA" w:bidi="hi-IN"/>
        </w:rPr>
        <w:t>ΠΑΡΑΚΟΛΟΥΘΗΣΗ- ΠΑΡΑΛΑΒΗ</w:t>
      </w:r>
    </w:p>
    <w:p>
      <w:pPr>
        <w:pStyle w:val="Standard"/>
        <w:spacing w:lineRule="auto" w:line="276"/>
        <w:jc w:val="both"/>
        <w:rPr>
          <w:rFonts w:ascii="Calibri" w:hAnsi="Calibri" w:eastAsia="Arial Unicode MS" w:cs="Tahoma"/>
          <w:color w:val="000000"/>
          <w:kern w:val="2"/>
          <w:sz w:val="24"/>
          <w:szCs w:val="24"/>
          <w:lang w:eastAsia="ar-SA" w:bidi="hi-IN"/>
        </w:rPr>
      </w:pPr>
      <w:r>
        <w:rPr>
          <w:rFonts w:eastAsia="Arial Unicode MS" w:cs="Tahoma" w:ascii="Calibri" w:hAnsi="Calibri"/>
          <w:color w:val="000000"/>
          <w:kern w:val="2"/>
          <w:sz w:val="24"/>
          <w:szCs w:val="24"/>
          <w:lang w:eastAsia="ar-SA" w:bidi="hi-IN"/>
        </w:rPr>
        <w:t>Η παρακολούθηση και παραλαβή των υπηρεσιών θα γίνεται από τις κατά τόπους Επιτροπές Παραλαβής και Παρακολούθησης της κάθε Υπηρεσίας με ευθύνη του Προϊσταμένου Διεύθυνσης της Υπηρεσίας που είναι αρμόδια για το κτίριο, όπως θα ισχύουν για την εκτέλεση της παρούσας σύμβασης.</w:t>
      </w:r>
    </w:p>
    <w:p>
      <w:pPr>
        <w:pStyle w:val="Standard"/>
        <w:spacing w:lineRule="auto" w:line="276"/>
        <w:jc w:val="both"/>
        <w:rPr>
          <w:rFonts w:ascii="Calibri" w:hAnsi="Calibri" w:eastAsia="Arial Unicode MS" w:cs="Tahoma"/>
          <w:b/>
          <w:b/>
          <w:bCs/>
          <w:color w:val="000000"/>
          <w:kern w:val="2"/>
          <w:sz w:val="24"/>
          <w:szCs w:val="24"/>
          <w:lang w:eastAsia="ar-SA" w:bidi="hi-IN"/>
        </w:rPr>
      </w:pPr>
      <w:r>
        <w:rPr>
          <w:rFonts w:eastAsia="Arial Unicode MS" w:cs="Tahoma" w:ascii="Calibri" w:hAnsi="Calibri"/>
          <w:b/>
          <w:bCs/>
          <w:color w:val="000000"/>
          <w:kern w:val="2"/>
          <w:sz w:val="24"/>
          <w:szCs w:val="24"/>
          <w:lang w:eastAsia="ar-SA" w:bidi="hi-IN"/>
        </w:rPr>
        <w:t>ΠΑΡΑΚΟΛΟΥΘΗΣΗ ΤΗΣ ΣΥΜΒΑΣΗΣ</w:t>
      </w:r>
    </w:p>
    <w:p>
      <w:pPr>
        <w:pStyle w:val="Standard"/>
        <w:spacing w:lineRule="auto" w:line="276"/>
        <w:jc w:val="both"/>
        <w:rPr>
          <w:rFonts w:ascii="Calibri" w:hAnsi="Calibri" w:eastAsia="Arial Unicode MS" w:cs="Tahoma"/>
          <w:color w:val="000000"/>
          <w:kern w:val="2"/>
          <w:sz w:val="24"/>
          <w:szCs w:val="24"/>
          <w:lang w:eastAsia="ar-SA" w:bidi="hi-IN"/>
        </w:rPr>
      </w:pPr>
      <w:r>
        <w:rPr>
          <w:rFonts w:eastAsia="Arial Unicode MS" w:cs="Tahoma" w:ascii="Calibri" w:hAnsi="Calibri"/>
          <w:color w:val="000000"/>
          <w:kern w:val="2"/>
          <w:sz w:val="24"/>
          <w:szCs w:val="24"/>
          <w:lang w:eastAsia="ar-SA" w:bidi="hi-IN"/>
        </w:rPr>
        <w:t>Η παρακολούθηση της εκτέλεσης της σύμβασης θα γίνεται από Επιτροπή Παρακολούθησης που θα συσταθεί για το σκοπό αυτό από τον Προϊστάμενο Διεύθυνσης της Υπηρεσίας, όπου θα εκτελούνται οι υπηρεσίες καθαριότητας, καθήκον της οποίας θα είναι, σύμφωνα με το άρθρο 216 του ν.4412/16, ενδεικτικά, η πιστοποίηση της εκτέλεσης του αντικειμένου της σύμβασης, καθώς και ο έλεγχος της συμμόρφωσης του αναδόχου με τους όρους της σύμβασης. Στο τέλος κάθε μήνα, θα συντάσσεται από τα εν λόγω όργανα, μηνιαίο πρακτικό παρακολούθησης/εκτέλεσης  και παραλαβής των εργασιών.</w:t>
      </w:r>
    </w:p>
    <w:p>
      <w:pPr>
        <w:pStyle w:val="Standard"/>
        <w:spacing w:lineRule="auto" w:line="276"/>
        <w:ind w:left="0" w:right="0" w:firstLine="720"/>
        <w:jc w:val="both"/>
        <w:rPr/>
      </w:pPr>
      <w:r>
        <w:rPr>
          <w:rFonts w:eastAsia="Arial Unicode MS" w:cs="Tahoma" w:ascii="Calibri" w:hAnsi="Calibri"/>
          <w:color w:val="000000"/>
          <w:lang w:eastAsia="el-GR"/>
        </w:rPr>
        <w:t xml:space="preserve">Για την προσήκουσα και έγκαιρη παραλαβή των υπηρεσιών </w:t>
      </w:r>
      <w:r>
        <w:rPr>
          <w:rFonts w:eastAsia="Arial Unicode MS" w:cs="Tahoma" w:ascii="Calibri" w:hAnsi="Calibri"/>
          <w:color w:val="000000"/>
          <w:lang w:eastAsia="ar-SA"/>
        </w:rPr>
        <w:t>ο Ανάδοχος υποχρεούται να διαθέτει επόπτη υπάλληλο για την επίβλεψη της εκτέλεσης της σύμβασης και επικοινωνία με τα όργανα που έχουν ορισθεί ειδικά για να επιβλέπουν την εκτέλεση της σύμβασης και είναι υπεύθυνα για την παρακολούθηση της ορθής εκτέλεσης των υποχρεώσεων του Αναδόχου. Το κόστος του επόπτη βαρύνει τον Ανάδοχο.</w:t>
      </w:r>
    </w:p>
    <w:p>
      <w:pPr>
        <w:pStyle w:val="Normal"/>
        <w:spacing w:lineRule="auto" w:line="276" w:before="0" w:after="0"/>
        <w:ind w:left="0" w:right="0" w:firstLine="720"/>
        <w:rPr>
          <w:rFonts w:eastAsia="Arial Unicode MS" w:cs="Calibri"/>
          <w:sz w:val="24"/>
          <w:lang w:val="el-GR" w:eastAsia="ar-SA"/>
        </w:rPr>
      </w:pPr>
      <w:r>
        <w:rPr>
          <w:rFonts w:eastAsia="Arial Unicode MS" w:cs="Calibri"/>
          <w:sz w:val="24"/>
          <w:lang w:val="el-GR" w:eastAsia="ar-SA"/>
        </w:rPr>
        <w:t xml:space="preserve"> </w:t>
      </w:r>
    </w:p>
    <w:p>
      <w:pPr>
        <w:pStyle w:val="2"/>
        <w:spacing w:lineRule="auto" w:line="276" w:before="0" w:after="0"/>
        <w:ind w:left="0" w:right="0" w:hanging="0"/>
        <w:rPr/>
      </w:pPr>
      <w:bookmarkStart w:id="188" w:name="__RefHeading___Toc35655_1890191151"/>
      <w:bookmarkStart w:id="189" w:name="_Toc492539489"/>
      <w:bookmarkStart w:id="190" w:name="_Toc58242693"/>
      <w:bookmarkEnd w:id="188"/>
      <w:r>
        <w:rPr>
          <w:rFonts w:eastAsia="Arial Unicode MS" w:cs="Calibri" w:ascii="Calibri" w:hAnsi="Calibri"/>
          <w:sz w:val="24"/>
          <w:szCs w:val="24"/>
          <w:lang w:val="el-GR"/>
        </w:rPr>
        <w:t xml:space="preserve">6.2 </w:t>
        <w:tab/>
        <w:t>Διάρκεια σύμβασης</w:t>
      </w:r>
      <w:bookmarkEnd w:id="189"/>
      <w:bookmarkEnd w:id="190"/>
      <w:r>
        <w:rPr>
          <w:rFonts w:eastAsia="Arial Unicode MS" w:cs="Calibri" w:ascii="Calibri" w:hAnsi="Calibri"/>
          <w:sz w:val="24"/>
          <w:szCs w:val="24"/>
          <w:lang w:val="el-GR"/>
        </w:rPr>
        <w:t xml:space="preserve"> </w:t>
      </w:r>
    </w:p>
    <w:p>
      <w:pPr>
        <w:pStyle w:val="Standard"/>
        <w:spacing w:lineRule="auto" w:line="276"/>
        <w:jc w:val="both"/>
        <w:rPr/>
      </w:pPr>
      <w:r>
        <w:rPr>
          <w:rFonts w:eastAsia="Times New Roman" w:cs="Tahoma" w:ascii="Calibri" w:hAnsi="Calibri"/>
          <w:color w:val="000000"/>
          <w:lang w:eastAsia="el-GR"/>
        </w:rPr>
        <w:t xml:space="preserve">Οι υπηρεσίες καθαριότητας θα παρέχονται για χρονικό διάστημα είκοσι τεσσάρων (24) μηνών αρχής γενομένης από την ημερομηνία υπογραφής των σχετικών συμβάσεων </w:t>
      </w:r>
      <w:r>
        <w:rPr>
          <w:rFonts w:eastAsia="Arial Unicode MS" w:cs="Tahoma" w:ascii="Calibri" w:hAnsi="Calibri"/>
          <w:color w:val="000000"/>
          <w:lang w:eastAsia="el-GR"/>
        </w:rPr>
        <w:t xml:space="preserve">και σε κάθε περίπτωση </w:t>
      </w:r>
      <w:r>
        <w:rPr>
          <w:rFonts w:eastAsia="Arial Unicode MS" w:cs="Tahoma" w:ascii="Calibri" w:hAnsi="Calibri"/>
          <w:b/>
          <w:color w:val="000000"/>
          <w:u w:val="single"/>
          <w:lang w:eastAsia="el-GR"/>
        </w:rPr>
        <w:t>όχι πριν τη λήξη των  εν ισχύ συμβάσεων (31/3/2024)</w:t>
      </w:r>
      <w:r>
        <w:rPr>
          <w:rFonts w:eastAsia="Arial Unicode MS" w:cs="Tahoma" w:ascii="Calibri" w:hAnsi="Calibri"/>
          <w:color w:val="000000"/>
          <w:lang w:eastAsia="el-GR"/>
        </w:rPr>
        <w:t>,</w:t>
      </w:r>
    </w:p>
    <w:p>
      <w:pPr>
        <w:pStyle w:val="Standard"/>
        <w:spacing w:lineRule="auto" w:line="276"/>
        <w:jc w:val="both"/>
        <w:rPr/>
      </w:pPr>
      <w:r>
        <w:rPr>
          <w:rFonts w:eastAsia="Times New Roman" w:cs="Tahoma" w:ascii="Calibri" w:hAnsi="Calibri"/>
          <w:lang w:val="en-US" w:eastAsia="el-GR"/>
        </w:rPr>
        <w:t>O</w:t>
      </w:r>
      <w:r>
        <w:rPr>
          <w:rFonts w:eastAsia="Times New Roman" w:cs="Tahoma" w:ascii="Calibri" w:hAnsi="Calibri"/>
          <w:lang w:eastAsia="el-GR"/>
        </w:rPr>
        <w:t xml:space="preserve"> </w:t>
      </w:r>
      <w:r>
        <w:rPr>
          <w:rFonts w:eastAsia="Times New Roman" w:cs="Tahoma" w:ascii="Calibri" w:hAnsi="Calibri"/>
          <w:lang w:val="en-US" w:eastAsia="el-GR"/>
        </w:rPr>
        <w:t>e</w:t>
      </w:r>
      <w:r>
        <w:rPr>
          <w:rFonts w:eastAsia="Times New Roman" w:cs="Tahoma" w:ascii="Calibri" w:hAnsi="Calibri"/>
          <w:lang w:eastAsia="el-GR"/>
        </w:rPr>
        <w:t xml:space="preserve">-ΕΦΚΑ δύναται να κάνει χρήση του δικαιώματος προαίρεσης για παράταση των υπηρεσιών για χρονικό διάστημα μέχρι δώδεκα (12) επιπλέον μήνες, με έναρξη την επομένη της ημερομηνίας λήξης της αρχικής σύμβασης, με τους ίδιους όρους. </w:t>
      </w:r>
    </w:p>
    <w:p>
      <w:pPr>
        <w:pStyle w:val="Normalwithoutspacing"/>
        <w:spacing w:lineRule="auto" w:line="276" w:before="0" w:after="0"/>
        <w:rPr>
          <w:rFonts w:ascii="Calibri" w:hAnsi="Calibri" w:eastAsia="Arial Unicode MS" w:cs="Calibri"/>
          <w:sz w:val="24"/>
        </w:rPr>
      </w:pPr>
      <w:r>
        <w:rPr>
          <w:rFonts w:eastAsia="Arial Unicode MS" w:cs="Calibri"/>
          <w:sz w:val="24"/>
        </w:rPr>
      </w:r>
    </w:p>
    <w:p>
      <w:pPr>
        <w:pStyle w:val="2"/>
        <w:spacing w:lineRule="auto" w:line="276" w:before="0" w:after="0"/>
        <w:ind w:left="0" w:right="0" w:hanging="0"/>
        <w:rPr/>
      </w:pPr>
      <w:bookmarkStart w:id="191" w:name="__RefHeading___Toc35657_1890191151"/>
      <w:bookmarkStart w:id="192" w:name="_Toc58242694"/>
      <w:bookmarkEnd w:id="191"/>
      <w:r>
        <w:rPr>
          <w:rFonts w:eastAsia="Arial Unicode MS" w:cs="Calibri" w:ascii="Calibri" w:hAnsi="Calibri"/>
          <w:sz w:val="24"/>
          <w:szCs w:val="24"/>
          <w:lang w:val="el-GR"/>
        </w:rPr>
        <w:t xml:space="preserve">6.3 </w:t>
        <w:tab/>
        <w:t>Παραλαβή του αντικειμένου της σύμβασης</w:t>
      </w:r>
      <w:bookmarkEnd w:id="192"/>
      <w:r>
        <w:rPr>
          <w:rFonts w:eastAsia="Arial Unicode MS" w:cs="Calibri" w:ascii="Calibri" w:hAnsi="Calibri"/>
          <w:sz w:val="24"/>
          <w:szCs w:val="24"/>
          <w:lang w:val="el-GR"/>
        </w:rPr>
        <w:t xml:space="preserve"> </w:t>
      </w:r>
    </w:p>
    <w:p>
      <w:pPr>
        <w:pStyle w:val="Normal"/>
        <w:spacing w:lineRule="auto" w:line="276" w:before="120" w:after="120"/>
        <w:rPr/>
      </w:pPr>
      <w:r>
        <w:rPr>
          <w:rFonts w:eastAsia="Arial Unicode MS"/>
          <w:b/>
          <w:sz w:val="24"/>
          <w:lang w:val="el-GR"/>
        </w:rPr>
        <w:t>6.3.1.</w:t>
      </w:r>
      <w:r>
        <w:rPr>
          <w:rFonts w:eastAsia="Arial Unicode MS"/>
          <w:sz w:val="24"/>
          <w:lang w:val="el-GR"/>
        </w:rPr>
        <w:t xml:space="preserve"> Η παραλαβή των υπηρεσιών της Σύμβασης θα γίνει από κατά τόπους Επιτροπές σύμφωνα με τα οριζόμενα στο </w:t>
      </w:r>
      <w:r>
        <w:rPr>
          <w:rFonts w:eastAsia="Arial Unicode MS"/>
          <w:b/>
          <w:sz w:val="24"/>
          <w:lang w:val="el-GR"/>
        </w:rPr>
        <w:t>6.1</w:t>
      </w:r>
      <w:r>
        <w:rPr>
          <w:rFonts w:eastAsia="Arial Unicode MS"/>
          <w:sz w:val="24"/>
          <w:lang w:val="el-GR"/>
        </w:rPr>
        <w:t xml:space="preserve"> της παρούσας.</w:t>
      </w:r>
    </w:p>
    <w:p>
      <w:pPr>
        <w:pStyle w:val="Normal"/>
        <w:spacing w:lineRule="auto" w:line="276" w:before="0" w:after="0"/>
        <w:rPr/>
      </w:pPr>
      <w:r>
        <w:rPr>
          <w:rFonts w:eastAsia="Arial Unicode MS"/>
          <w:b/>
          <w:sz w:val="24"/>
          <w:lang w:val="el-GR"/>
        </w:rPr>
        <w:t>6.3.2</w:t>
      </w:r>
      <w:r>
        <w:rPr>
          <w:rFonts w:eastAsia="Arial Unicode MS"/>
          <w:sz w:val="24"/>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pPr>
        <w:pStyle w:val="Normal"/>
        <w:spacing w:lineRule="auto" w:line="276" w:before="0" w:after="0"/>
        <w:rPr/>
      </w:pPr>
      <w:r>
        <w:rPr>
          <w:rFonts w:eastAsia="Arial Unicode MS"/>
          <w:b/>
          <w:sz w:val="24"/>
          <w:lang w:val="el-GR"/>
        </w:rPr>
        <w:t>6.3.3</w:t>
      </w:r>
      <w:r>
        <w:rPr>
          <w:rFonts w:eastAsia="Arial Unicode MS"/>
          <w:sz w:val="24"/>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pPr>
        <w:pStyle w:val="Normal"/>
        <w:spacing w:lineRule="auto" w:line="276" w:before="0" w:after="0"/>
        <w:rPr/>
      </w:pPr>
      <w:r>
        <w:rPr>
          <w:rFonts w:eastAsia="Arial Unicode MS"/>
          <w:b/>
          <w:sz w:val="24"/>
          <w:lang w:val="el-GR"/>
        </w:rPr>
        <w:t>6.3.4</w:t>
      </w:r>
      <w:r>
        <w:rPr>
          <w:rFonts w:eastAsia="Arial Unicode MS"/>
          <w:sz w:val="24"/>
          <w:lang w:val="el-GR"/>
        </w:rPr>
        <w:t xml:space="preserve"> Για την εφαρμογή της προηγούμενης παραγράφου ορίζονται τα ακόλουθα: </w:t>
      </w:r>
    </w:p>
    <w:p>
      <w:pPr>
        <w:pStyle w:val="Normal"/>
        <w:spacing w:lineRule="auto" w:line="276" w:before="0" w:after="0"/>
        <w:rPr>
          <w:rFonts w:eastAsia="Arial Unicode MS"/>
          <w:sz w:val="24"/>
          <w:lang w:val="el-GR"/>
        </w:rPr>
      </w:pPr>
      <w:r>
        <w:rPr>
          <w:rFonts w:eastAsia="Arial Unicode MS"/>
          <w:sz w:val="24"/>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pPr>
        <w:pStyle w:val="Normal"/>
        <w:spacing w:lineRule="auto" w:line="276" w:before="0" w:after="0"/>
        <w:rPr>
          <w:rFonts w:eastAsia="Arial Unicode MS"/>
          <w:sz w:val="24"/>
          <w:lang w:val="el-GR"/>
        </w:rPr>
      </w:pPr>
      <w:r>
        <w:rPr>
          <w:rFonts w:eastAsia="Arial Unicode MS"/>
          <w:sz w:val="24"/>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pPr>
        <w:pStyle w:val="Normal"/>
        <w:spacing w:lineRule="auto" w:line="276" w:before="0" w:after="0"/>
        <w:rPr/>
      </w:pPr>
      <w:r>
        <w:rPr>
          <w:rFonts w:eastAsia="Arial Unicode MS"/>
          <w:b/>
          <w:sz w:val="24"/>
          <w:lang w:val="el-GR"/>
        </w:rPr>
        <w:t>6.3.5</w:t>
      </w:r>
      <w:r>
        <w:rPr>
          <w:rFonts w:eastAsia="Arial Unicode MS"/>
          <w:sz w:val="24"/>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συντελεστεί αυτοδίκαια.</w:t>
      </w:r>
    </w:p>
    <w:p>
      <w:pPr>
        <w:pStyle w:val="Normal"/>
        <w:spacing w:lineRule="auto" w:line="276" w:before="0" w:after="0"/>
        <w:rPr/>
      </w:pPr>
      <w:r>
        <w:rPr>
          <w:rFonts w:eastAsia="Arial Unicode MS" w:cs="Calibri"/>
          <w:b/>
          <w:kern w:val="2"/>
          <w:sz w:val="24"/>
          <w:lang w:val="el-GR" w:bidi="hi-IN"/>
        </w:rPr>
        <w:t>6.3.6</w:t>
      </w:r>
      <w:r>
        <w:rPr>
          <w:rFonts w:eastAsia="Arial Unicode MS" w:cs="Calibri"/>
          <w:kern w:val="2"/>
          <w:sz w:val="24"/>
          <w:lang w:val="el-GR" w:bidi="hi-IN"/>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6.1. Η παραπάνω επιτροπή παραλαβής προβαίνει σε όλες τις διαδικασίες παραλαβής που προβλέπονται από την σύμβαση και συντάσσει τα σχετικά πρωτόκολλα. Η εγγυητική επιστολή καλής εκτέλεσης δεν επιστρέφεται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pPr>
        <w:pStyle w:val="Normal"/>
        <w:spacing w:lineRule="auto" w:line="276"/>
        <w:rPr>
          <w:rFonts w:ascii="Calibri" w:hAnsi="Calibri" w:eastAsia="Arial Unicode MS" w:cs="Calibri"/>
          <w:sz w:val="24"/>
          <w:lang w:val="el-GR"/>
        </w:rPr>
      </w:pPr>
      <w:r>
        <w:rPr>
          <w:rFonts w:eastAsia="Arial Unicode MS" w:cs="Calibri"/>
          <w:sz w:val="24"/>
          <w:lang w:val="el-GR"/>
        </w:rPr>
      </w:r>
    </w:p>
    <w:p>
      <w:pPr>
        <w:pStyle w:val="2"/>
        <w:spacing w:lineRule="auto" w:line="276" w:before="0" w:after="0"/>
        <w:ind w:left="0" w:right="0" w:hanging="0"/>
        <w:rPr>
          <w:rFonts w:ascii="Calibri" w:hAnsi="Calibri" w:eastAsia="Arial Unicode MS" w:cs="Calibri"/>
          <w:sz w:val="24"/>
          <w:szCs w:val="24"/>
          <w:lang w:val="el-GR"/>
        </w:rPr>
      </w:pPr>
      <w:bookmarkStart w:id="193" w:name="__RefHeading___Toc35659_1890191151"/>
      <w:bookmarkStart w:id="194" w:name="_Toc19018836"/>
      <w:bookmarkStart w:id="195" w:name="_Toc58242695"/>
      <w:bookmarkStart w:id="196" w:name="_Toc6819755"/>
      <w:bookmarkEnd w:id="193"/>
      <w:r>
        <w:rPr>
          <w:rFonts w:eastAsia="Arial Unicode MS" w:cs="Calibri" w:ascii="Calibri" w:hAnsi="Calibri"/>
          <w:sz w:val="24"/>
          <w:szCs w:val="24"/>
          <w:lang w:val="el-GR"/>
        </w:rPr>
        <w:t>6.4 Απόρριψη παραδοτέων - Αντικατάσταση</w:t>
      </w:r>
      <w:bookmarkEnd w:id="194"/>
      <w:bookmarkEnd w:id="195"/>
      <w:bookmarkEnd w:id="196"/>
    </w:p>
    <w:p>
      <w:pPr>
        <w:pStyle w:val="Normal"/>
        <w:spacing w:lineRule="auto" w:line="276" w:before="120" w:after="120"/>
        <w:rPr>
          <w:rFonts w:eastAsia="Arial Unicode MS"/>
          <w:sz w:val="24"/>
          <w:lang w:val="el-GR"/>
        </w:rPr>
      </w:pPr>
      <w:r>
        <w:rPr>
          <w:rFonts w:eastAsia="Arial Unicode MS"/>
          <w:sz w:val="24"/>
          <w:lang w:val="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ν.4412/16 και την παράγραφο 5.2.2 της παρούσας, λόγω εκπρόθεσμης παράδοσης.</w:t>
      </w:r>
    </w:p>
    <w:p>
      <w:pPr>
        <w:pStyle w:val="Normal"/>
        <w:spacing w:lineRule="auto" w:line="276"/>
        <w:rPr>
          <w:rFonts w:eastAsia="Arial Unicode MS"/>
          <w:sz w:val="24"/>
          <w:lang w:val="el-GR"/>
        </w:rPr>
      </w:pPr>
      <w:r>
        <w:rPr>
          <w:rFonts w:eastAsia="Arial Unicode MS"/>
          <w:sz w:val="24"/>
          <w:lang w:val="el-G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pPr>
        <w:pStyle w:val="2"/>
        <w:spacing w:lineRule="auto" w:line="276" w:before="0" w:after="0"/>
        <w:ind w:left="0" w:right="0" w:hanging="0"/>
        <w:rPr>
          <w:rFonts w:ascii="Calibri" w:hAnsi="Calibri"/>
          <w:sz w:val="24"/>
          <w:szCs w:val="24"/>
          <w:lang w:val="el-GR"/>
        </w:rPr>
      </w:pPr>
      <w:r>
        <w:rPr>
          <w:rFonts w:ascii="Calibri" w:hAnsi="Calibri"/>
          <w:sz w:val="24"/>
          <w:szCs w:val="24"/>
          <w:lang w:val="el-GR"/>
        </w:rPr>
      </w:r>
      <w:bookmarkStart w:id="197" w:name="_Toc4925394901"/>
      <w:bookmarkStart w:id="198" w:name="_Toc4925394901"/>
      <w:bookmarkEnd w:id="198"/>
    </w:p>
    <w:p>
      <w:pPr>
        <w:pStyle w:val="2"/>
        <w:spacing w:lineRule="auto" w:line="276" w:before="0" w:after="0"/>
        <w:ind w:left="0" w:right="0" w:hanging="0"/>
        <w:rPr>
          <w:rFonts w:ascii="Calibri" w:hAnsi="Calibri" w:eastAsia="Arial Unicode MS" w:cs="Calibri"/>
          <w:sz w:val="24"/>
          <w:szCs w:val="24"/>
          <w:lang w:val="el-GR"/>
        </w:rPr>
      </w:pPr>
      <w:bookmarkStart w:id="199" w:name="__RefHeading___Toc35661_1890191151"/>
      <w:bookmarkStart w:id="200" w:name="_Toc127963098"/>
      <w:bookmarkStart w:id="201" w:name="_Toc492539491"/>
      <w:bookmarkEnd w:id="199"/>
      <w:r>
        <w:rPr>
          <w:rFonts w:eastAsia="Arial Unicode MS" w:cs="Calibri" w:ascii="Calibri" w:hAnsi="Calibri"/>
          <w:sz w:val="24"/>
          <w:szCs w:val="24"/>
          <w:lang w:val="el-GR"/>
        </w:rPr>
        <w:t>6.5 Αναπροσαρμογή τιμής</w:t>
      </w:r>
      <w:bookmarkEnd w:id="200"/>
      <w:bookmarkEnd w:id="201"/>
    </w:p>
    <w:p>
      <w:pPr>
        <w:pStyle w:val="Normal"/>
        <w:shd w:val="clear" w:color="auto" w:fill="FFFFFF"/>
        <w:spacing w:lineRule="auto" w:line="276" w:before="0" w:after="0"/>
        <w:ind w:left="23" w:right="159" w:hanging="0"/>
        <w:rPr/>
      </w:pPr>
      <w:r>
        <w:rPr>
          <w:color w:val="000000"/>
          <w:sz w:val="24"/>
          <w:szCs w:val="24"/>
          <w:highlight w:val="white"/>
        </w:rPr>
        <w:t xml:space="preserve">Σύμφωνα με τις διατάξεις του άρθρου 53 του ν.4412/12 όπως τροποποιήθηκε και ισχύει, σε περίπτωση αύξησης του κατώτατου μισθού εργαζόμενου σε σχέση με αυτόν που ίσχυε κατά την καταληκτική ημερομηνία υποβολής των προσφορών, η τιμή αναπροσαρμόζεται υποχρεωτικά, υπό τους περιορισμούς του άρθρου 132, σύμφωνα με τον τύπο: </w:t>
      </w:r>
    </w:p>
    <w:p>
      <w:pPr>
        <w:pStyle w:val="Normal"/>
        <w:pBdr>
          <w:top w:val="single" w:sz="12" w:space="1" w:color="000000"/>
          <w:left w:val="single" w:sz="12" w:space="0" w:color="000000"/>
          <w:bottom w:val="single" w:sz="12" w:space="1" w:color="000000"/>
          <w:right w:val="single" w:sz="12" w:space="4" w:color="000000"/>
        </w:pBdr>
        <w:shd w:val="clear" w:color="auto" w:fill="FFFFFF"/>
        <w:spacing w:lineRule="auto" w:line="276" w:before="0" w:after="0"/>
        <w:ind w:left="23" w:right="159" w:hanging="0"/>
        <w:jc w:val="center"/>
        <w:rPr>
          <w:b/>
          <w:b/>
          <w:color w:val="000000"/>
          <w:sz w:val="24"/>
          <w:szCs w:val="24"/>
          <w:highlight w:val="white"/>
        </w:rPr>
      </w:pPr>
      <w:r>
        <w:rPr>
          <w:b/>
          <w:color w:val="000000"/>
          <w:sz w:val="24"/>
          <w:szCs w:val="24"/>
          <w:highlight w:val="white"/>
        </w:rPr>
        <w:t>Τ = Τπροσφοράς Χ (1+α)</w:t>
      </w:r>
    </w:p>
    <w:p>
      <w:pPr>
        <w:pStyle w:val="Normal"/>
        <w:spacing w:lineRule="auto" w:line="276" w:before="206" w:after="0"/>
        <w:ind w:left="0" w:right="57" w:hanging="0"/>
        <w:rPr>
          <w:rFonts w:eastAsia="Arial Unicode MS"/>
          <w:color w:val="000000"/>
          <w:sz w:val="24"/>
          <w:highlight w:val="white"/>
          <w:lang w:val="el-GR"/>
        </w:rPr>
      </w:pPr>
      <w:r>
        <w:rPr>
          <w:rFonts w:eastAsia="Arial Unicode MS"/>
          <w:color w:val="000000"/>
          <w:sz w:val="24"/>
          <w:highlight w:val="white"/>
          <w:lang w:val="el-GR"/>
        </w:rPr>
        <w:t>Όπου</w:t>
      </w:r>
    </w:p>
    <w:p>
      <w:pPr>
        <w:pStyle w:val="Normal"/>
        <w:shd w:val="clear" w:color="auto" w:fill="FFFFFF"/>
        <w:spacing w:lineRule="auto" w:line="276" w:before="0" w:after="0"/>
        <w:ind w:left="23" w:right="159" w:hanging="0"/>
        <w:rPr/>
      </w:pPr>
      <w:r>
        <w:rPr>
          <w:b/>
          <w:color w:val="000000"/>
          <w:sz w:val="24"/>
          <w:szCs w:val="24"/>
          <w:highlight w:val="white"/>
        </w:rPr>
        <w:t>α:</w:t>
      </w:r>
      <w:r>
        <w:rPr>
          <w:color w:val="000000"/>
          <w:sz w:val="24"/>
          <w:szCs w:val="24"/>
          <w:highlight w:val="white"/>
        </w:rPr>
        <w:t xml:space="preserve"> το ποσοστό αύξησης του κατώτατου μισθού εργαζόμενου σε σχέση με αυτόν που ίσχυε κατά την καταληκτική ημερομηνία υποβολής των προσφορών, </w:t>
      </w:r>
    </w:p>
    <w:p>
      <w:pPr>
        <w:pStyle w:val="Normal"/>
        <w:shd w:val="clear" w:color="auto" w:fill="FFFFFF"/>
        <w:spacing w:lineRule="auto" w:line="276" w:before="0" w:after="0"/>
        <w:ind w:left="23" w:right="159" w:hanging="0"/>
        <w:rPr/>
      </w:pPr>
      <w:r>
        <w:rPr>
          <w:b/>
          <w:color w:val="000000"/>
          <w:sz w:val="24"/>
          <w:szCs w:val="24"/>
          <w:highlight w:val="white"/>
        </w:rPr>
        <w:t>Τ_προσφοράς</w:t>
      </w:r>
      <w:r>
        <w:rPr>
          <w:color w:val="000000"/>
          <w:sz w:val="24"/>
          <w:szCs w:val="24"/>
          <w:highlight w:val="white"/>
        </w:rPr>
        <w:t>: η τιμή της οικονομικής προσφοράς του οικονομικού φορέα στον οποίο ανατίθεται η σύμβαση και</w:t>
      </w:r>
    </w:p>
    <w:p>
      <w:pPr>
        <w:pStyle w:val="Normal"/>
        <w:shd w:val="clear" w:color="auto" w:fill="FFFFFF"/>
        <w:spacing w:lineRule="auto" w:line="276" w:before="0" w:after="0"/>
        <w:ind w:left="23" w:right="159" w:hanging="0"/>
        <w:rPr/>
      </w:pPr>
      <w:r>
        <w:rPr>
          <w:b/>
          <w:color w:val="000000"/>
          <w:sz w:val="24"/>
          <w:szCs w:val="24"/>
          <w:highlight w:val="white"/>
        </w:rPr>
        <w:t>Τ:</w:t>
      </w:r>
      <w:r>
        <w:rPr>
          <w:color w:val="000000"/>
          <w:sz w:val="24"/>
          <w:szCs w:val="24"/>
          <w:highlight w:val="white"/>
        </w:rPr>
        <w:t xml:space="preserve"> η αναπροσαρμοσμένη τιμή.</w:t>
      </w:r>
    </w:p>
    <w:p>
      <w:pPr>
        <w:pStyle w:val="Normal"/>
        <w:shd w:val="clear" w:color="auto" w:fill="FFFFFF"/>
        <w:spacing w:lineRule="auto" w:line="276" w:before="114" w:after="114"/>
        <w:ind w:left="0" w:right="159" w:hanging="0"/>
        <w:rPr>
          <w:rFonts w:eastAsia="Arial Unicode MS" w:cs="Calibri"/>
          <w:color w:val="000000"/>
          <w:sz w:val="24"/>
          <w:szCs w:val="24"/>
          <w:highlight w:val="white"/>
        </w:rPr>
      </w:pPr>
      <w:r>
        <w:rPr>
          <w:rFonts w:eastAsia="Arial Unicode MS" w:cs="Calibri"/>
          <w:color w:val="000000"/>
          <w:sz w:val="24"/>
          <w:szCs w:val="24"/>
          <w:highlight w:val="white"/>
        </w:rPr>
        <w:t>Η αναπροσαρμογή της τιμής εφαρμόζεται μόνο αν η αναθέτουσα αρχή διαθέτει τις απαραίτητες πιστώσεις για την εφαρμογή της.</w:t>
      </w:r>
    </w:p>
    <w:p>
      <w:pPr>
        <w:pStyle w:val="2"/>
        <w:spacing w:lineRule="auto" w:line="276" w:before="0" w:after="0"/>
        <w:ind w:left="0" w:right="0" w:hanging="0"/>
        <w:rPr>
          <w:rFonts w:ascii="Calibri" w:hAnsi="Calibri" w:eastAsia="Arial Unicode MS" w:cs="Calibri"/>
          <w:sz w:val="24"/>
          <w:szCs w:val="24"/>
          <w:lang w:val="el-GR"/>
        </w:rPr>
      </w:pPr>
      <w:bookmarkStart w:id="202" w:name="__RefHeading___Toc35663_1890191151"/>
      <w:bookmarkStart w:id="203" w:name="_Toc58242697"/>
      <w:bookmarkStart w:id="204" w:name="_Toc19018838"/>
      <w:bookmarkEnd w:id="202"/>
      <w:r>
        <w:rPr>
          <w:rFonts w:eastAsia="Arial Unicode MS" w:cs="Calibri" w:ascii="Calibri" w:hAnsi="Calibri"/>
          <w:sz w:val="24"/>
          <w:szCs w:val="24"/>
          <w:lang w:val="el-GR"/>
        </w:rPr>
        <w:t>6.6 Καταγγελία της σύμβασης – Υποκατάσταση αναδόχου</w:t>
      </w:r>
      <w:bookmarkEnd w:id="203"/>
      <w:bookmarkEnd w:id="204"/>
    </w:p>
    <w:p>
      <w:pPr>
        <w:pStyle w:val="Normal"/>
        <w:spacing w:lineRule="auto" w:line="276"/>
        <w:rPr/>
      </w:pPr>
      <w:r>
        <w:rPr>
          <w:rFonts w:eastAsia="Arial Unicode MS" w:cs="Calibri"/>
          <w:b/>
          <w:sz w:val="24"/>
          <w:lang w:val="el-GR" w:eastAsia="el-GR"/>
        </w:rPr>
        <w:t>6.6.1.</w:t>
      </w:r>
      <w:r>
        <w:rPr>
          <w:rFonts w:eastAsia="Arial Unicode MS" w:cs="Calibri"/>
          <w:sz w:val="24"/>
          <w:lang w:val="el-GR" w:eastAsia="el-GR"/>
        </w:rPr>
        <w:t xml:space="preserve"> Στην περίπτωση που, κατά την εκτέλεση της σύμβασης, ο ανάδοχος καταδικαστεί αμετάκλητα για ένα από τα αδικήματα που αναφέρονται στην παρ.2.2.3.1.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w:t>
      </w:r>
    </w:p>
    <w:p>
      <w:pPr>
        <w:pStyle w:val="Normal"/>
        <w:spacing w:lineRule="auto" w:line="276"/>
        <w:rPr/>
      </w:pPr>
      <w:r>
        <w:rPr>
          <w:rFonts w:eastAsia="Arial Unicode MS" w:cs="Calibri"/>
          <w:b/>
          <w:sz w:val="24"/>
          <w:lang w:val="el-GR" w:eastAsia="el-GR"/>
        </w:rPr>
        <w:t>6.6.2</w:t>
      </w:r>
      <w:r>
        <w:rPr>
          <w:rFonts w:eastAsia="Arial Unicode MS" w:cs="Calibri"/>
          <w:sz w:val="24"/>
          <w:lang w:val="el-GR" w:eastAsia="el-GR"/>
        </w:rPr>
        <w:t>.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w:t>
      </w:r>
    </w:p>
    <w:p>
      <w:pPr>
        <w:pStyle w:val="Normal"/>
        <w:spacing w:lineRule="auto" w:line="276"/>
        <w:rPr/>
      </w:pPr>
      <w:r>
        <w:rPr>
          <w:rFonts w:eastAsia="Arial Unicode MS" w:cs="Calibri"/>
          <w:b/>
          <w:sz w:val="24"/>
          <w:lang w:val="el-GR" w:eastAsia="el-GR"/>
        </w:rPr>
        <w:t>6.6.3</w:t>
      </w:r>
      <w:r>
        <w:rPr>
          <w:rFonts w:eastAsia="Arial Unicode MS" w:cs="Calibri"/>
          <w:sz w:val="24"/>
          <w:lang w:val="el-GR" w:eastAsia="el-GR"/>
        </w:rPr>
        <w:t>.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pPr>
        <w:pStyle w:val="2"/>
        <w:spacing w:lineRule="auto" w:line="276" w:before="0" w:after="0"/>
        <w:ind w:left="0" w:right="0" w:hanging="0"/>
        <w:rPr/>
      </w:pPr>
      <w:bookmarkStart w:id="205" w:name="__RefHeading___Toc35665_1890191151"/>
      <w:bookmarkStart w:id="206" w:name="_Toc58242698"/>
      <w:bookmarkStart w:id="207" w:name="_Toc492539492"/>
      <w:bookmarkEnd w:id="205"/>
      <w:r>
        <w:rPr>
          <w:rFonts w:eastAsia="Arial Unicode MS" w:cs="Calibri" w:ascii="Calibri" w:hAnsi="Calibri"/>
          <w:sz w:val="24"/>
          <w:szCs w:val="24"/>
          <w:lang w:val="el-GR"/>
        </w:rPr>
        <w:t>6.7 Λοιποί όροι</w:t>
      </w:r>
      <w:bookmarkEnd w:id="206"/>
      <w:bookmarkEnd w:id="207"/>
      <w:r>
        <w:rPr>
          <w:rFonts w:eastAsia="Arial Unicode MS" w:cs="Calibri" w:ascii="Calibri" w:hAnsi="Calibri"/>
          <w:sz w:val="24"/>
          <w:szCs w:val="24"/>
          <w:lang w:val="el-GR"/>
        </w:rPr>
        <w:t xml:space="preserve"> </w:t>
      </w:r>
    </w:p>
    <w:p>
      <w:pPr>
        <w:pStyle w:val="Normal"/>
        <w:suppressAutoHyphens w:val="false"/>
        <w:spacing w:lineRule="auto" w:line="276" w:before="0" w:after="0"/>
        <w:jc w:val="left"/>
        <w:rPr>
          <w:rFonts w:eastAsia="Arial Unicode MS" w:cs="Calibri"/>
          <w:color w:val="000000"/>
          <w:sz w:val="24"/>
          <w:lang w:val="el-GR" w:eastAsia="el-GR"/>
        </w:rPr>
      </w:pPr>
      <w:r>
        <w:rPr>
          <w:rFonts w:eastAsia="Arial Unicode MS" w:cs="Calibri"/>
          <w:color w:val="000000"/>
          <w:sz w:val="24"/>
          <w:lang w:val="el-GR" w:eastAsia="el-GR"/>
        </w:rPr>
        <w:t>Η συμμετοχή στη διαδικασία του διαγωνισμού συνεπάγεται πλήρη και ανεπιφύλακτη αποδοχή των όρων της παρούσας Διακήρυξης και των Παραρτημάτων της.</w:t>
      </w:r>
    </w:p>
    <w:p>
      <w:pPr>
        <w:pStyle w:val="Normal"/>
        <w:suppressAutoHyphens w:val="false"/>
        <w:spacing w:lineRule="auto" w:line="276" w:before="0" w:after="0"/>
        <w:jc w:val="right"/>
        <w:rPr>
          <w:rFonts w:ascii="Calibri" w:hAnsi="Calibri" w:eastAsia="Arial Unicode MS" w:cs="Calibri"/>
          <w:color w:val="000000"/>
          <w:sz w:val="24"/>
          <w:lang w:val="el-GR" w:eastAsia="el-GR"/>
        </w:rPr>
      </w:pPr>
      <w:r>
        <w:rPr>
          <w:rFonts w:eastAsia="Arial Unicode MS" w:cs="Calibri"/>
          <w:color w:val="000000"/>
          <w:sz w:val="24"/>
          <w:lang w:val="el-GR" w:eastAsia="el-GR"/>
        </w:rPr>
      </w:r>
    </w:p>
    <w:p>
      <w:pPr>
        <w:pStyle w:val="Normal"/>
        <w:suppressAutoHyphens w:val="false"/>
        <w:spacing w:lineRule="auto" w:line="276" w:before="0" w:after="0"/>
        <w:jc w:val="right"/>
        <w:rPr>
          <w:rFonts w:eastAsia="Arial Unicode MS" w:cs="Calibri"/>
          <w:b/>
          <w:b/>
          <w:color w:val="000000"/>
          <w:sz w:val="24"/>
          <w:lang w:val="el-GR" w:eastAsia="el-GR"/>
        </w:rPr>
      </w:pPr>
      <w:r>
        <w:rPr>
          <w:rFonts w:eastAsia="Arial Unicode MS" w:cs="Calibri"/>
          <w:b/>
          <w:color w:val="000000"/>
          <w:sz w:val="24"/>
          <w:lang w:val="el-GR" w:eastAsia="el-GR"/>
        </w:rPr>
        <w:t xml:space="preserve"> </w:t>
      </w:r>
      <w:r>
        <w:rPr>
          <w:rFonts w:eastAsia="Arial Unicode MS" w:cs="Calibri"/>
          <w:b/>
          <w:color w:val="000000"/>
          <w:sz w:val="24"/>
          <w:lang w:val="el-GR" w:eastAsia="el-GR"/>
        </w:rPr>
        <w:t>Ο Προϊστάμενος της Γενικής Διεύθυνσης</w:t>
      </w:r>
    </w:p>
    <w:p>
      <w:pPr>
        <w:pStyle w:val="Normal"/>
        <w:suppressAutoHyphens w:val="false"/>
        <w:spacing w:lineRule="auto" w:line="276" w:before="0" w:after="0"/>
        <w:ind w:left="4320" w:right="0" w:firstLine="720"/>
        <w:jc w:val="center"/>
        <w:rPr>
          <w:rFonts w:eastAsia="Arial Unicode MS" w:cs="Calibri"/>
          <w:b/>
          <w:b/>
          <w:color w:val="000000"/>
          <w:sz w:val="24"/>
          <w:lang w:val="el-GR" w:eastAsia="el-GR"/>
        </w:rPr>
      </w:pPr>
      <w:r>
        <w:rPr>
          <w:rFonts w:eastAsia="Arial Unicode MS" w:cs="Calibri"/>
          <w:b/>
          <w:color w:val="000000"/>
          <w:sz w:val="24"/>
          <w:lang w:val="el-GR" w:eastAsia="el-GR"/>
        </w:rPr>
        <w:t>ΠΥΣΥ  Θεσσαλία</w:t>
      </w:r>
    </w:p>
    <w:p>
      <w:pPr>
        <w:pStyle w:val="Normal"/>
        <w:suppressAutoHyphens w:val="false"/>
        <w:spacing w:lineRule="auto" w:line="276" w:before="0" w:after="0"/>
        <w:ind w:left="5760" w:right="0" w:hanging="0"/>
        <w:jc w:val="center"/>
        <w:rPr>
          <w:rFonts w:eastAsia="Arial Unicode MS" w:cs="Calibri"/>
          <w:b/>
          <w:b/>
          <w:color w:val="000000"/>
          <w:sz w:val="24"/>
          <w:lang w:val="el-GR" w:eastAsia="el-GR"/>
        </w:rPr>
      </w:pPr>
      <w:r>
        <w:rPr>
          <w:rFonts w:eastAsia="Arial Unicode MS" w:cs="Calibri"/>
          <w:b/>
          <w:color w:val="000000"/>
          <w:sz w:val="24"/>
          <w:lang w:val="el-GR" w:eastAsia="el-GR"/>
        </w:rPr>
        <w:t>Γεώργιος Σταυροθεόδωρος</w:t>
      </w:r>
    </w:p>
    <w:p>
      <w:pPr>
        <w:pStyle w:val="1"/>
        <w:spacing w:lineRule="auto" w:line="276" w:before="0" w:after="0"/>
        <w:rPr>
          <w:rFonts w:ascii="Calibri" w:hAnsi="Calibri" w:eastAsia="Arial Unicode MS" w:cs="Calibri"/>
          <w:sz w:val="24"/>
          <w:szCs w:val="24"/>
          <w:lang w:val="el-GR"/>
        </w:rPr>
      </w:pPr>
      <w:bookmarkStart w:id="208" w:name="__RefHeading___Toc35667_1890191151"/>
      <w:bookmarkStart w:id="209" w:name="_Toc58242699"/>
      <w:bookmarkEnd w:id="208"/>
      <w:r>
        <w:rPr>
          <w:rFonts w:eastAsia="Arial Unicode MS" w:cs="Calibri" w:ascii="Calibri" w:hAnsi="Calibri"/>
          <w:sz w:val="24"/>
          <w:szCs w:val="24"/>
          <w:lang w:val="el-GR"/>
        </w:rPr>
        <w:t>ΠΑΡΑΡΤΗΜΑΤΑ</w:t>
      </w:r>
      <w:bookmarkEnd w:id="209"/>
    </w:p>
    <w:p>
      <w:pPr>
        <w:pStyle w:val="2"/>
        <w:tabs>
          <w:tab w:val="clear" w:pos="567"/>
        </w:tabs>
        <w:spacing w:lineRule="auto" w:line="276" w:before="240" w:after="0"/>
        <w:ind w:left="0" w:right="0" w:hanging="0"/>
        <w:rPr/>
      </w:pPr>
      <w:bookmarkStart w:id="210" w:name="__RefHeading___Toc35669_1890191151"/>
      <w:bookmarkEnd w:id="210"/>
      <w:r>
        <w:rPr>
          <w:rFonts w:eastAsia="Calibri" w:cs="Calibri" w:ascii="Calibri" w:hAnsi="Calibri"/>
          <w:color w:val="000000"/>
          <w:sz w:val="24"/>
          <w:szCs w:val="24"/>
          <w:lang w:val="el-GR" w:eastAsia="ar-SA"/>
        </w:rPr>
        <w:t>ΠΑΡΑΡΤΗΜΑ Ι – Ενιαίο Ευρωπαϊκό Έγγραφο Συμβάσεων (ΕΕΕΣ)</w:t>
      </w:r>
      <w:bookmarkStart w:id="211" w:name="_Toc492539493"/>
      <w:bookmarkStart w:id="212" w:name="_Toc58242700"/>
      <w:bookmarkStart w:id="213" w:name="_Toc127963100"/>
      <w:bookmarkEnd w:id="211"/>
      <w:bookmarkEnd w:id="212"/>
      <w:bookmarkEnd w:id="213"/>
      <w:r>
        <w:rPr>
          <w:rStyle w:val="Style14"/>
          <w:rStyle w:val="Style14"/>
          <w:rFonts w:eastAsia="Calibri" w:ascii="Calibri" w:hAnsi="Calibri"/>
          <w:color w:val="000000"/>
          <w:sz w:val="24"/>
          <w:szCs w:val="24"/>
          <w:lang w:val="el-GR" w:eastAsia="ar-SA"/>
        </w:rPr>
        <w:footnoteReference w:id="90"/>
      </w:r>
    </w:p>
    <w:p>
      <w:pPr>
        <w:pStyle w:val="Normal"/>
        <w:spacing w:lineRule="auto" w:line="276"/>
        <w:rPr>
          <w:rFonts w:eastAsia="Arial Unicode MS" w:cs="Calibri"/>
          <w:b/>
          <w:b/>
          <w:bCs/>
          <w:color w:val="000000"/>
          <w:sz w:val="24"/>
          <w:lang w:val="el-GR"/>
        </w:rPr>
      </w:pPr>
      <w:r>
        <w:rPr>
          <w:rFonts w:eastAsia="Arial Unicode MS" w:cs="Calibri"/>
          <w:b/>
          <w:bCs/>
          <w:color w:val="000000"/>
          <w:sz w:val="24"/>
          <w:lang w:val="el-GR"/>
        </w:rPr>
        <w:t xml:space="preserve">Σε συνημμένο ηλεκτρονικό αρχείο της διακήρυξης περιλαμβάνονται: </w:t>
      </w:r>
    </w:p>
    <w:p>
      <w:pPr>
        <w:pStyle w:val="Normal"/>
        <w:spacing w:lineRule="auto" w:line="276"/>
        <w:rPr/>
      </w:pPr>
      <w:r>
        <w:rPr>
          <w:rFonts w:eastAsia="Arial Unicode MS" w:cs="Calibri"/>
          <w:b/>
          <w:bCs/>
          <w:color w:val="000000"/>
          <w:sz w:val="24"/>
          <w:lang w:val="el-GR"/>
        </w:rPr>
        <w:t>1.</w:t>
      </w:r>
      <w:r>
        <w:rPr>
          <w:rFonts w:eastAsia="Arial Unicode MS" w:cs="Calibri"/>
          <w:color w:val="000000"/>
          <w:sz w:val="24"/>
          <w:lang w:val="el-GR"/>
        </w:rPr>
        <w:t xml:space="preserve"> Υπόδειγμα του Ευρωπαϊκού Ενιαίου Εγγράφου Συμβάσεων της διακήρυξης σε μορφή αρχείου </w:t>
      </w:r>
      <w:r>
        <w:rPr>
          <w:rFonts w:eastAsia="Arial Unicode MS" w:cs="Calibri"/>
          <w:color w:val="000000"/>
          <w:sz w:val="24"/>
        </w:rPr>
        <w:t>pdf</w:t>
      </w:r>
      <w:r>
        <w:rPr>
          <w:rFonts w:eastAsia="Arial Unicode MS" w:cs="Calibri"/>
          <w:color w:val="000000"/>
          <w:sz w:val="24"/>
          <w:lang w:val="el-GR"/>
        </w:rPr>
        <w:t xml:space="preserve">, το οποίο αποτελεί αναπόσπαστο μέρος της, όπως προβλέπεται στην παρ. 1 και 3 του άρθρου 79 του ν. 4412/2016 όπως έχει τροποποιηθεί με τον νόμο 4497/2017. </w:t>
      </w:r>
    </w:p>
    <w:p>
      <w:pPr>
        <w:pStyle w:val="Normal"/>
        <w:spacing w:lineRule="auto" w:line="276"/>
        <w:rPr/>
      </w:pPr>
      <w:r>
        <w:rPr>
          <w:rFonts w:eastAsia="Arial Unicode MS" w:cs="Calibri"/>
          <w:b/>
          <w:bCs/>
          <w:color w:val="000000"/>
          <w:sz w:val="24"/>
          <w:lang w:val="el-GR"/>
        </w:rPr>
        <w:t>2.</w:t>
      </w:r>
      <w:r>
        <w:rPr>
          <w:rFonts w:eastAsia="Arial Unicode MS" w:cs="Calibri"/>
          <w:color w:val="000000"/>
          <w:sz w:val="24"/>
          <w:lang w:val="el-GR"/>
        </w:rPr>
        <w:t xml:space="preserve"> Το Ευρωπαϊκό Ενιαίο Έγγραφο Συμβάσεων της διακήρυξης, σε μορφή αρχείου </w:t>
      </w:r>
      <w:r>
        <w:rPr>
          <w:rFonts w:eastAsia="Arial Unicode MS" w:cs="Calibri"/>
          <w:color w:val="000000"/>
          <w:sz w:val="24"/>
        </w:rPr>
        <w:t>xml</w:t>
      </w:r>
      <w:r>
        <w:rPr>
          <w:rFonts w:eastAsia="Arial Unicode MS" w:cs="Calibri"/>
          <w:color w:val="000000"/>
          <w:sz w:val="24"/>
          <w:lang w:val="el-GR"/>
        </w:rPr>
        <w:t xml:space="preserve"> και </w:t>
      </w:r>
      <w:r>
        <w:rPr>
          <w:rFonts w:eastAsia="Arial Unicode MS" w:cs="Calibri"/>
          <w:color w:val="000000"/>
          <w:sz w:val="24"/>
          <w:lang w:val="en-US"/>
        </w:rPr>
        <w:t>html</w:t>
      </w:r>
      <w:r>
        <w:rPr>
          <w:rFonts w:eastAsia="Arial Unicode MS" w:cs="Calibri"/>
          <w:color w:val="000000"/>
          <w:sz w:val="24"/>
          <w:lang w:val="el-GR"/>
        </w:rPr>
        <w:t xml:space="preserve">, το οποίο θα μπορούν να το χρησιμοποιήσουν οι οικονομικοί φορείς, προκειμένου να συντάξουν τη σχετική απάντησή τους. </w:t>
      </w:r>
    </w:p>
    <w:p>
      <w:pPr>
        <w:sectPr>
          <w:footnotePr>
            <w:numFmt w:val="decimal"/>
          </w:footnotePr>
          <w:type w:val="continuous"/>
          <w:pgSz w:w="11906" w:h="16838"/>
          <w:pgMar w:left="1276" w:right="1134" w:header="0" w:top="709" w:footer="422" w:bottom="851" w:gutter="0"/>
          <w:formProt w:val="false"/>
          <w:textDirection w:val="lrTb"/>
          <w:docGrid w:type="default" w:linePitch="360" w:charSpace="4096"/>
        </w:sectPr>
      </w:pPr>
    </w:p>
    <w:p>
      <w:pPr>
        <w:pStyle w:val="2"/>
        <w:tabs>
          <w:tab w:val="clear" w:pos="567"/>
        </w:tabs>
        <w:spacing w:lineRule="auto" w:line="276" w:before="240" w:after="0"/>
        <w:ind w:left="0" w:right="0" w:hanging="0"/>
        <w:rPr>
          <w:rFonts w:ascii="Calibri" w:hAnsi="Calibri" w:eastAsia="Calibri" w:cs="Calibri"/>
          <w:sz w:val="24"/>
          <w:szCs w:val="24"/>
          <w:lang w:val="el-GR" w:eastAsia="ar-SA"/>
        </w:rPr>
      </w:pPr>
      <w:bookmarkStart w:id="214" w:name="__RefHeading___Toc35671_1890191151"/>
      <w:bookmarkStart w:id="215" w:name="_Toc127963101"/>
      <w:bookmarkEnd w:id="214"/>
      <w:r>
        <w:rPr>
          <w:rFonts w:eastAsia="Calibri" w:cs="Calibri" w:ascii="Calibri" w:hAnsi="Calibri"/>
          <w:sz w:val="24"/>
          <w:szCs w:val="24"/>
          <w:lang w:val="el-GR" w:eastAsia="ar-SA"/>
        </w:rPr>
        <w:t>ΠΑΡΑΡΤΗΜΑ ΙΙ ΑΝΑΛΥΤΙΚΗ ΠΕΡΙΓΡΑΦΗ ΦΥΣΙΚΟΥ ΚΑΙ ΟΙΚΟΝΟΜΙΚΟΥ ΑΝΤΙΚΕΙΜΕΝΟΥ ΤΗΣ ΣΥΜΒΑΣΗΣ - ΤΕΧΝΙΚΕΣ ΠΡΟΔΙΑΓΡΑΦΕΣ ΚΑΙ ΟΡΟΙ</w:t>
      </w:r>
      <w:bookmarkEnd w:id="215"/>
    </w:p>
    <w:p>
      <w:pPr>
        <w:pStyle w:val="2"/>
        <w:tabs>
          <w:tab w:val="clear" w:pos="567"/>
        </w:tabs>
        <w:spacing w:lineRule="auto" w:line="276" w:before="240" w:after="0"/>
        <w:ind w:left="0" w:right="0" w:hanging="0"/>
        <w:rPr/>
      </w:pPr>
      <w:bookmarkStart w:id="216" w:name="__RefHeading___Toc35673_1890191151"/>
      <w:bookmarkStart w:id="217" w:name="_Toc127963102"/>
      <w:bookmarkEnd w:id="216"/>
      <w:r>
        <w:rPr>
          <w:rFonts w:eastAsia="Calibri" w:cs="Calibri" w:ascii="Calibri" w:hAnsi="Calibri"/>
          <w:color w:val="000000"/>
          <w:sz w:val="24"/>
          <w:szCs w:val="24"/>
          <w:u w:val="single"/>
          <w:lang w:val="el-GR" w:eastAsia="ar-SA"/>
        </w:rPr>
        <w:t xml:space="preserve">ΜΕΡΟΣ Α. ΠΕΡΙΓΡΑΦΗ ΚΤΙΡΙΩΝ –ΑΠΑΙΤΟΥΜΕΝΕΣ ΩΡΕΣ </w:t>
      </w:r>
      <w:bookmarkEnd w:id="217"/>
      <w:r>
        <w:rPr>
          <w:rFonts w:eastAsia="Calibri" w:cs="Calibri" w:ascii="Calibri" w:hAnsi="Calibri"/>
          <w:color w:val="000000"/>
          <w:sz w:val="24"/>
          <w:szCs w:val="24"/>
          <w:u w:val="single"/>
          <w:lang w:val="el-GR" w:eastAsia="ar-SA"/>
        </w:rPr>
        <w:t>ΚΑΘΑΡΙΟΤΗΤΑΣ</w:t>
      </w:r>
    </w:p>
    <w:p>
      <w:pPr>
        <w:pStyle w:val="Normal"/>
        <w:suppressAutoHyphens w:val="false"/>
        <w:spacing w:lineRule="auto" w:line="276" w:before="0" w:after="0"/>
        <w:rPr>
          <w:rFonts w:cs="Calibri"/>
          <w:b/>
          <w:b/>
          <w:bCs/>
          <w:color w:val="000000"/>
          <w:sz w:val="24"/>
          <w:lang w:val="el-GR" w:eastAsia="el-GR"/>
        </w:rPr>
      </w:pPr>
      <w:r>
        <w:rPr>
          <w:rFonts w:cs="Calibri"/>
          <w:b/>
          <w:bCs/>
          <w:color w:val="000000"/>
          <w:sz w:val="24"/>
          <w:lang w:val="el-GR" w:eastAsia="el-GR"/>
        </w:rPr>
        <w:t>Για όλα τα Τμήματα, ο καθαρισμός στους κύριους χώρους χρήσης θα πραγματοποιείται καθημερινά από Δευτέρα έως και Παρασκευή (πλην επίσημων αργιών και εορτών), ενώ ο καθαρισμός στους βοηθητικούς χώρους (υπόγεια, αρχεία κλπ.) θα πραγματοποιείται 1 φορά/μήνα.</w:t>
      </w:r>
    </w:p>
    <w:p>
      <w:pPr>
        <w:pStyle w:val="Normal"/>
        <w:suppressAutoHyphens w:val="false"/>
        <w:spacing w:lineRule="auto" w:line="276" w:before="0" w:after="0"/>
        <w:rPr>
          <w:rFonts w:cs="Calibri"/>
          <w:b/>
          <w:b/>
          <w:bCs/>
          <w:color w:val="000000"/>
          <w:lang w:val="el-GR" w:eastAsia="el-GR"/>
        </w:rPr>
      </w:pPr>
      <w:r>
        <w:rPr>
          <w:rFonts w:cs="Calibri"/>
          <w:b/>
          <w:bCs/>
          <w:color w:val="000000"/>
          <w:lang w:val="el-GR" w:eastAsia="el-GR"/>
        </w:rPr>
      </w:r>
    </w:p>
    <w:p>
      <w:pPr>
        <w:pStyle w:val="Normal"/>
        <w:suppressAutoHyphens w:val="false"/>
        <w:spacing w:lineRule="auto" w:line="276" w:before="0" w:after="0"/>
        <w:rPr/>
      </w:pPr>
      <w:r>
        <w:rPr/>
        <w:object w:dxaOrig="16641" w:dyaOrig="12033">
          <v:shape id="ole_rId47" style="width:649.95pt;height:440.05pt" o:ole="">
            <v:imagedata r:id="rId48" o:title=""/>
          </v:shape>
          <o:OLEObject Type="Embed" ProgID="Excel.Sheet.12" ShapeID="ole_rId47" DrawAspect="Content" ObjectID="_1329105370" r:id="rId47"/>
        </w:object>
      </w:r>
      <w:r>
        <w:br w:type="page"/>
      </w:r>
    </w:p>
    <w:p>
      <w:pPr>
        <w:pStyle w:val="2"/>
        <w:spacing w:lineRule="auto" w:line="276"/>
        <w:ind w:left="567" w:right="0" w:hanging="0"/>
        <w:jc w:val="center"/>
        <w:rPr/>
      </w:pPr>
      <w:bookmarkStart w:id="218" w:name="__RefHeading___Toc35675_1890191151"/>
      <w:bookmarkEnd w:id="218"/>
      <w:r>
        <w:rPr>
          <w:rFonts w:eastAsia="Calibri" w:cs="Tahoma" w:ascii="Calibri" w:hAnsi="Calibri"/>
          <w:sz w:val="24"/>
          <w:szCs w:val="24"/>
          <w:u w:val="single"/>
          <w:lang w:val="el-GR" w:eastAsia="ar-SA"/>
        </w:rPr>
        <w:t>ΜΕΡΟΣ Β. ΦΥΛΛΟ ΣΥΜΜΟΡΦΩΣΗΣ</w:t>
      </w:r>
    </w:p>
    <w:p>
      <w:pPr>
        <w:pStyle w:val="Normal"/>
        <w:spacing w:lineRule="auto" w:line="276" w:before="0" w:after="0"/>
        <w:rPr/>
      </w:pPr>
      <w:r>
        <w:rPr>
          <w:b/>
          <w:sz w:val="24"/>
          <w:u w:val="single"/>
          <w:lang w:val="el-GR"/>
        </w:rPr>
        <w:t xml:space="preserve">ΤΕΧΝΙΚΕΣ ΠΡΟΔΙΑΓΡΑΦΕΣ –ΓΕΝΙΚΟΙ ΚΑΙ ΕΙΔΙΚΟΙ ΟΡΟΙ-ΥΠΟΧΡΕΩΣΕΙΣ ΑΝΑΔΟΧΟΥ &amp; ΥΠΟΨΗΦΙΩΝ ΑΝΑΔΟΧΩΝ &amp; ΥΠΟΨΗΦΙΩΝ ΑΝΑΔΟΧΩΝ ΓΙΑ ΤΗΝ ΠΑΡΟΧΗ ΥΠΗΡΕΣΙΩΝ ΚΑΘΑΡΙΟΤΗΤΑΣ ΣΕ ΚΤΙΡΙΑ ΣΤΑ ΟΠΟΙΑ ΣΤΕΓΑΖΟΝΤΑΙ ΥΠΗΡΕΣΙΕΣ ΤΟΥ </w:t>
      </w:r>
      <w:r>
        <w:rPr>
          <w:b/>
          <w:sz w:val="24"/>
          <w:u w:val="single"/>
        </w:rPr>
        <w:t>e</w:t>
      </w:r>
      <w:r>
        <w:rPr>
          <w:b/>
          <w:sz w:val="24"/>
          <w:u w:val="single"/>
          <w:lang w:val="el-GR"/>
        </w:rPr>
        <w:t>-ΕΦΚΑ ΑΡΜΟΔΙΟΤΗΤΑΣ ΤΗΣ ΠΥΣΥ ΘΕΣΣΑΛΙΑΣ</w:t>
      </w:r>
    </w:p>
    <w:p>
      <w:pPr>
        <w:pStyle w:val="Normal"/>
        <w:spacing w:lineRule="auto" w:line="276" w:before="0" w:after="0"/>
        <w:rPr>
          <w:sz w:val="24"/>
          <w:lang w:val="el-GR"/>
        </w:rPr>
      </w:pPr>
      <w:r>
        <w:rPr>
          <w:sz w:val="24"/>
          <w:lang w:val="el-GR"/>
        </w:rPr>
      </w:r>
    </w:p>
    <w:p>
      <w:pPr>
        <w:sectPr>
          <w:footerReference w:type="default" r:id="rId49"/>
          <w:footnotePr>
            <w:numFmt w:val="decimal"/>
          </w:footnotePr>
          <w:type w:val="nextPage"/>
          <w:pgSz w:orient="landscape" w:w="16838" w:h="11906"/>
          <w:pgMar w:left="709" w:right="709" w:header="0" w:top="1134" w:footer="479" w:bottom="993" w:gutter="0"/>
          <w:pgNumType w:fmt="decimal"/>
          <w:formProt w:val="false"/>
          <w:textDirection w:val="lrTb"/>
          <w:docGrid w:type="default" w:linePitch="360" w:charSpace="4096"/>
        </w:sectPr>
        <w:pStyle w:val="Normal"/>
        <w:spacing w:lineRule="auto" w:line="276" w:before="0" w:after="0"/>
        <w:rPr/>
      </w:pPr>
      <w:r>
        <w:rPr>
          <w:rFonts w:eastAsia="Arial Unicode MS"/>
          <w:sz w:val="24"/>
          <w:lang w:val="el-GR"/>
        </w:rPr>
        <w:t>Απαραίτητα και με ποινή αποκλεισμού από την περαιτέρω αξιολόγηση, οι υποψήφιοι Ανάδοχοι πρέπει στην προσφορά τους να καταθέσουν το παρόν έντυπο, στο οποίο θα απαντούν τεκμηριωμένα για το σύνολο των απαιτήσεων.</w:t>
      </w:r>
      <w:bookmarkStart w:id="219" w:name="__DdeLink__47062_4074847730"/>
      <w:bookmarkEnd w:id="219"/>
    </w:p>
    <w:tbl>
      <w:tblPr>
        <w:tblW w:w="10427" w:type="dxa"/>
        <w:jc w:val="left"/>
        <w:tblInd w:w="-474" w:type="dxa"/>
        <w:tblCellMar>
          <w:top w:w="0" w:type="dxa"/>
          <w:left w:w="108" w:type="dxa"/>
          <w:bottom w:w="0" w:type="dxa"/>
          <w:right w:w="108" w:type="dxa"/>
        </w:tblCellMar>
      </w:tblPr>
      <w:tblGrid>
        <w:gridCol w:w="7144"/>
        <w:gridCol w:w="1019"/>
        <w:gridCol w:w="1008"/>
        <w:gridCol w:w="1255"/>
      </w:tblGrid>
      <w:tr>
        <w:trPr>
          <w:tblHeader w:val="true"/>
          <w:trHeight w:val="390" w:hRule="atLeast"/>
          <w:cantSplit w:val="true"/>
        </w:trPr>
        <w:tc>
          <w:tcPr>
            <w:tcW w:w="7144" w:type="dxa"/>
            <w:tcBorders>
              <w:top w:val="single" w:sz="4" w:space="0" w:color="000000"/>
              <w:left w:val="single" w:sz="4" w:space="0" w:color="000000"/>
              <w:bottom w:val="single" w:sz="4" w:space="0" w:color="000000"/>
            </w:tcBorders>
            <w:shd w:color="auto" w:fill="548DD4" w:val="clear"/>
            <w:vAlign w:val="center"/>
          </w:tcPr>
          <w:p>
            <w:pPr>
              <w:pStyle w:val="Normal"/>
              <w:keepNext w:val="true"/>
              <w:snapToGrid w:val="false"/>
              <w:spacing w:before="0" w:after="0"/>
              <w:jc w:val="center"/>
              <w:rPr>
                <w:rFonts w:ascii="Tahoma" w:hAnsi="Tahoma" w:cs="Tahoma"/>
                <w:b/>
                <w:b/>
                <w:sz w:val="18"/>
                <w:szCs w:val="18"/>
              </w:rPr>
            </w:pPr>
            <w:r>
              <w:rPr>
                <w:rFonts w:cs="Tahoma" w:ascii="Tahoma" w:hAnsi="Tahoma"/>
                <w:b/>
                <w:sz w:val="18"/>
                <w:szCs w:val="18"/>
              </w:rPr>
              <w:t>ΧΑΡΑΚΤΗΡΙΣΤΙΚΑ</w:t>
            </w:r>
          </w:p>
        </w:tc>
        <w:tc>
          <w:tcPr>
            <w:tcW w:w="1019" w:type="dxa"/>
            <w:tcBorders>
              <w:top w:val="single" w:sz="4" w:space="0" w:color="000000"/>
              <w:left w:val="single" w:sz="4" w:space="0" w:color="000000"/>
              <w:bottom w:val="single" w:sz="4" w:space="0" w:color="000000"/>
            </w:tcBorders>
            <w:shd w:color="auto" w:fill="548DD4" w:val="clear"/>
            <w:vAlign w:val="center"/>
          </w:tcPr>
          <w:p>
            <w:pPr>
              <w:pStyle w:val="Normal"/>
              <w:tabs>
                <w:tab w:val="clear" w:pos="720"/>
                <w:tab w:val="left" w:pos="33" w:leader="none"/>
                <w:tab w:val="left" w:pos="817" w:leader="none"/>
              </w:tabs>
              <w:snapToGrid w:val="false"/>
              <w:spacing w:before="0" w:after="200"/>
              <w:ind w:left="0" w:right="-57" w:hanging="57"/>
              <w:jc w:val="center"/>
              <w:rPr>
                <w:rFonts w:ascii="Tahoma" w:hAnsi="Tahoma" w:cs="Tahoma"/>
                <w:b/>
                <w:b/>
                <w:sz w:val="16"/>
                <w:szCs w:val="16"/>
              </w:rPr>
            </w:pPr>
            <w:r>
              <w:rPr>
                <w:rFonts w:cs="Tahoma" w:ascii="Tahoma" w:hAnsi="Tahoma"/>
                <w:b/>
                <w:sz w:val="16"/>
                <w:szCs w:val="16"/>
              </w:rPr>
              <w:t>ΑΠΑΙΤΗΣΗ</w:t>
            </w:r>
          </w:p>
        </w:tc>
        <w:tc>
          <w:tcPr>
            <w:tcW w:w="1008" w:type="dxa"/>
            <w:tcBorders>
              <w:top w:val="single" w:sz="4" w:space="0" w:color="000000"/>
              <w:left w:val="single" w:sz="4" w:space="0" w:color="000000"/>
              <w:bottom w:val="single" w:sz="4" w:space="0" w:color="000000"/>
            </w:tcBorders>
            <w:shd w:color="auto" w:fill="548DD4" w:val="clear"/>
            <w:vAlign w:val="center"/>
          </w:tcPr>
          <w:p>
            <w:pPr>
              <w:pStyle w:val="Normal"/>
              <w:snapToGrid w:val="false"/>
              <w:spacing w:before="0" w:after="200"/>
              <w:ind w:left="0" w:right="-113" w:hanging="113"/>
              <w:jc w:val="center"/>
              <w:rPr>
                <w:rFonts w:ascii="Tahoma" w:hAnsi="Tahoma" w:cs="Tahoma"/>
                <w:b/>
                <w:b/>
                <w:sz w:val="16"/>
                <w:szCs w:val="16"/>
              </w:rPr>
            </w:pPr>
            <w:r>
              <w:rPr>
                <w:rFonts w:cs="Tahoma" w:ascii="Tahoma" w:hAnsi="Tahoma"/>
                <w:b/>
                <w:sz w:val="16"/>
                <w:szCs w:val="16"/>
              </w:rPr>
              <w:t>ΑΠΑΝΤΗΣΗ</w:t>
            </w:r>
          </w:p>
        </w:tc>
        <w:tc>
          <w:tcPr>
            <w:tcW w:w="1255" w:type="dxa"/>
            <w:tcBorders>
              <w:top w:val="single" w:sz="4" w:space="0" w:color="000000"/>
              <w:left w:val="single" w:sz="4" w:space="0" w:color="000000"/>
              <w:bottom w:val="single" w:sz="4" w:space="0" w:color="000000"/>
              <w:right w:val="single" w:sz="4" w:space="0" w:color="000000"/>
            </w:tcBorders>
            <w:shd w:color="auto" w:fill="548DD4" w:val="clear"/>
            <w:vAlign w:val="center"/>
          </w:tcPr>
          <w:p>
            <w:pPr>
              <w:pStyle w:val="Normal"/>
              <w:snapToGrid w:val="false"/>
              <w:spacing w:before="0" w:after="200"/>
              <w:ind w:left="0" w:right="-57" w:hanging="57"/>
              <w:jc w:val="center"/>
              <w:rPr>
                <w:rFonts w:ascii="Tahoma" w:hAnsi="Tahoma" w:cs="Tahoma"/>
                <w:b/>
                <w:b/>
                <w:sz w:val="16"/>
                <w:szCs w:val="16"/>
              </w:rPr>
            </w:pPr>
            <w:r>
              <w:rPr>
                <w:rFonts w:cs="Tahoma" w:ascii="Tahoma" w:hAnsi="Tahoma"/>
                <w:b/>
                <w:sz w:val="16"/>
                <w:szCs w:val="16"/>
              </w:rPr>
              <w:t>ΠΑΡΑΠΟΜΠΗ</w:t>
            </w:r>
          </w:p>
        </w:tc>
      </w:tr>
      <w:tr>
        <w:trPr>
          <w:trHeight w:val="397" w:hRule="atLeast"/>
          <w:cantSplit w:val="true"/>
        </w:trPr>
        <w:tc>
          <w:tcPr>
            <w:tcW w:w="10426" w:type="dxa"/>
            <w:gridSpan w:val="4"/>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keepNext w:val="true"/>
              <w:snapToGrid w:val="false"/>
              <w:spacing w:before="0" w:after="0"/>
              <w:rPr>
                <w:rFonts w:ascii="Tahoma" w:hAnsi="Tahoma" w:cs="Tahoma"/>
                <w:b/>
                <w:b/>
                <w:sz w:val="18"/>
                <w:szCs w:val="18"/>
              </w:rPr>
            </w:pPr>
            <w:r>
              <w:rPr>
                <w:rFonts w:cs="Tahoma" w:ascii="Tahoma" w:hAnsi="Tahoma"/>
                <w:b/>
                <w:sz w:val="18"/>
                <w:szCs w:val="18"/>
              </w:rPr>
              <w:t>1. ΑΠΑΙΤΟΥΜΕΝΕΣ ΕΡΓΑΣΙΕΣ – ΠΕΡΙΓΡΑΦΗ</w:t>
            </w:r>
          </w:p>
        </w:tc>
      </w:tr>
      <w:tr>
        <w:trPr>
          <w:trHeight w:val="400" w:hRule="atLeast"/>
          <w:cantSplit w:val="true"/>
        </w:trPr>
        <w:tc>
          <w:tcPr>
            <w:tcW w:w="10426" w:type="dxa"/>
            <w:gridSpan w:val="4"/>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snapToGrid w:val="false"/>
              <w:spacing w:before="0" w:after="0"/>
              <w:rPr>
                <w:rFonts w:ascii="Tahoma" w:hAnsi="Tahoma" w:cs="Tahoma"/>
                <w:b/>
                <w:b/>
                <w:sz w:val="18"/>
                <w:szCs w:val="18"/>
                <w:lang w:val="el-GR"/>
              </w:rPr>
            </w:pPr>
            <w:r>
              <w:rPr>
                <w:rFonts w:cs="Tahoma" w:ascii="Tahoma" w:hAnsi="Tahoma"/>
                <w:b/>
                <w:sz w:val="18"/>
                <w:szCs w:val="18"/>
                <w:lang w:val="el-GR"/>
              </w:rPr>
              <w:t>1.1. ΚΑΘΗΜΕΡΙΝΕΣ ΕΡΓΑΣΙΕΣ ΣΕ ΓΡΑΦΕΙΑΚΟΥΣ ΚΑΙ ΚΟΙΝΟΧΡΗΣΤΟΥΣ ΧΩΡΟΥΣ</w:t>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29"/>
              <w:rPr/>
            </w:pPr>
            <w:r>
              <w:rPr>
                <w:rFonts w:eastAsia="Arial Unicode MS"/>
                <w:kern w:val="2"/>
                <w:sz w:val="20"/>
                <w:szCs w:val="20"/>
                <w:lang w:val="el-GR"/>
              </w:rPr>
              <w:t>Σ</w:t>
            </w:r>
            <w:r>
              <w:rPr>
                <w:rFonts w:eastAsia="Arial Unicode MS"/>
                <w:kern w:val="2"/>
                <w:sz w:val="20"/>
                <w:szCs w:val="20"/>
                <w:lang w:val="el-GR" w:bidi="el-GR"/>
              </w:rPr>
              <w:t>κούπισμα και σφουγγάρισμα</w:t>
            </w:r>
            <w:r>
              <w:rPr>
                <w:rFonts w:eastAsia="Arial Unicode MS"/>
                <w:kern w:val="2"/>
                <w:sz w:val="20"/>
                <w:szCs w:val="20"/>
                <w:lang w:val="el-GR"/>
              </w:rPr>
              <w:t xml:space="preserve"> δαπέδων </w:t>
            </w:r>
            <w:r>
              <w:rPr>
                <w:rFonts w:eastAsia="Arial Unicode MS"/>
                <w:kern w:val="2"/>
                <w:sz w:val="20"/>
                <w:szCs w:val="20"/>
                <w:lang w:val="el-GR" w:bidi="el-GR"/>
              </w:rPr>
              <w:t>αιθουσών, γραφειακών χώρων, χώρων αναμονής, διαδρόμων, χώρων κουζινών.</w:t>
            </w:r>
          </w:p>
        </w:tc>
        <w:tc>
          <w:tcPr>
            <w:tcW w:w="1019" w:type="dxa"/>
            <w:vMerge w:val="restart"/>
            <w:tcBorders>
              <w:top w:val="single" w:sz="4" w:space="0" w:color="000000"/>
              <w:lef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vMerge w:val="restart"/>
            <w:tcBorders>
              <w:top w:val="single" w:sz="4" w:space="0" w:color="000000"/>
              <w:lef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vMerge w:val="restart"/>
            <w:tcBorders>
              <w:top w:val="single" w:sz="4" w:space="0" w:color="000000"/>
              <w:left w:val="single" w:sz="4" w:space="0" w:color="000000"/>
              <w:righ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29"/>
              <w:rPr>
                <w:rFonts w:eastAsia="Arial Unicode MS"/>
                <w:kern w:val="2"/>
                <w:sz w:val="20"/>
                <w:szCs w:val="20"/>
                <w:lang w:val="el-GR" w:bidi="el-GR"/>
              </w:rPr>
            </w:pPr>
            <w:r>
              <w:rPr>
                <w:rFonts w:eastAsia="Arial Unicode MS"/>
                <w:kern w:val="2"/>
                <w:sz w:val="20"/>
                <w:szCs w:val="20"/>
                <w:lang w:val="el-GR" w:bidi="el-GR"/>
              </w:rPr>
              <w:t>Ξεσκόνισμα με αντιστατικά ή προεμποτισμένα πανιά, των επίπλων γραφείων, γκισέ συναλλαγών, ερμαρίων, καθισμάτων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29"/>
              <w:rPr>
                <w:rFonts w:eastAsia="Arial Unicode MS"/>
                <w:kern w:val="2"/>
                <w:sz w:val="20"/>
                <w:szCs w:val="20"/>
                <w:lang w:val="el-GR" w:bidi="el-GR"/>
              </w:rPr>
            </w:pPr>
            <w:r>
              <w:rPr>
                <w:rFonts w:eastAsia="Arial Unicode MS"/>
                <w:kern w:val="2"/>
                <w:sz w:val="20"/>
                <w:szCs w:val="20"/>
                <w:lang w:val="el-GR" w:bidi="el-GR"/>
              </w:rPr>
              <w:t>Άδειασμα δοχείων απορριμμάτων και αντικατάσταση σακούλας απορριμμάτων.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29"/>
              <w:rPr>
                <w:rFonts w:eastAsia="Arial Unicode MS"/>
                <w:kern w:val="2"/>
                <w:sz w:val="20"/>
                <w:szCs w:val="20"/>
                <w:lang w:val="el-GR" w:bidi="el-GR"/>
              </w:rPr>
            </w:pPr>
            <w:r>
              <w:rPr>
                <w:rFonts w:eastAsia="Arial Unicode MS"/>
                <w:kern w:val="2"/>
                <w:sz w:val="20"/>
                <w:szCs w:val="20"/>
                <w:lang w:val="el-GR" w:bidi="el-GR"/>
              </w:rPr>
              <w:t>Σκούπισμα και σφουγγάρισμα κοινόχρηστων χώρων (κλιμακοστάσιο, πλατύσκαλα, ανελκυστήρες).</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29"/>
              <w:rPr>
                <w:rFonts w:eastAsia="Arial Unicode MS"/>
                <w:kern w:val="2"/>
                <w:sz w:val="20"/>
                <w:szCs w:val="20"/>
                <w:lang w:val="el-GR" w:bidi="el-GR"/>
              </w:rPr>
            </w:pPr>
            <w:r>
              <w:rPr>
                <w:rFonts w:eastAsia="Arial Unicode MS"/>
                <w:kern w:val="2"/>
                <w:sz w:val="20"/>
                <w:szCs w:val="20"/>
                <w:lang w:val="el-GR" w:bidi="el-GR"/>
              </w:rPr>
              <w:t xml:space="preserve">Καθαρισμός κουπαστών με αντιστατικά ή προεμποτισμένα πανιά. </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29"/>
              <w:rPr>
                <w:rFonts w:eastAsia="Arial Unicode MS"/>
                <w:kern w:val="2"/>
                <w:sz w:val="20"/>
                <w:szCs w:val="20"/>
                <w:lang w:val="el-GR" w:bidi="el-GR"/>
              </w:rPr>
            </w:pPr>
            <w:r>
              <w:rPr>
                <w:rFonts w:eastAsia="Arial Unicode MS"/>
                <w:kern w:val="2"/>
                <w:sz w:val="20"/>
                <w:szCs w:val="20"/>
                <w:lang w:val="el-GR" w:bidi="el-GR"/>
              </w:rPr>
              <w:t>Σκούπισμα, ξεσκόνισμα και σφουγγάρισμα θαλάμων ανελκυστήρων, καθαρισμός των καθρεπτών και των τοίχων των θαλάμων.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0"/>
              <w:rPr>
                <w:rFonts w:eastAsia="Arial Unicode MS"/>
                <w:kern w:val="2"/>
                <w:sz w:val="20"/>
                <w:szCs w:val="20"/>
                <w:lang w:val="el-GR"/>
              </w:rPr>
            </w:pPr>
            <w:r>
              <w:rPr>
                <w:rFonts w:eastAsia="Arial Unicode MS"/>
                <w:kern w:val="2"/>
                <w:sz w:val="20"/>
                <w:szCs w:val="20"/>
                <w:lang w:val="el-GR"/>
              </w:rPr>
              <w:t>Καθαρισμός χώρων κουζίνας (πάγκοι, πλακάκια, νιπτήρες)</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29"/>
              <w:rPr>
                <w:rFonts w:eastAsia="Arial Unicode MS"/>
                <w:kern w:val="2"/>
                <w:sz w:val="20"/>
                <w:szCs w:val="20"/>
                <w:lang w:val="el-GR"/>
              </w:rPr>
            </w:pPr>
            <w:r>
              <w:rPr>
                <w:rFonts w:eastAsia="Arial Unicode MS"/>
                <w:kern w:val="2"/>
                <w:sz w:val="20"/>
                <w:szCs w:val="20"/>
                <w:lang w:val="el-GR"/>
              </w:rPr>
              <w:t>Καθαρισμός χειρολαβών θυρών.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10426" w:type="dxa"/>
            <w:gridSpan w:val="4"/>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snapToGrid w:val="false"/>
              <w:spacing w:before="0" w:after="0"/>
              <w:rPr>
                <w:rFonts w:ascii="Tahoma" w:hAnsi="Tahoma" w:cs="Tahoma"/>
                <w:b/>
                <w:b/>
                <w:sz w:val="18"/>
                <w:szCs w:val="18"/>
                <w:lang w:val="el-GR"/>
              </w:rPr>
            </w:pPr>
            <w:r>
              <w:rPr>
                <w:rFonts w:cs="Tahoma" w:ascii="Tahoma" w:hAnsi="Tahoma"/>
                <w:b/>
                <w:sz w:val="18"/>
                <w:szCs w:val="18"/>
                <w:lang w:val="el-GR"/>
              </w:rPr>
            </w:r>
          </w:p>
          <w:p>
            <w:pPr>
              <w:pStyle w:val="Normal"/>
              <w:snapToGrid w:val="false"/>
              <w:spacing w:before="0" w:after="0"/>
              <w:rPr>
                <w:rFonts w:ascii="Tahoma" w:hAnsi="Tahoma" w:cs="Tahoma"/>
                <w:b/>
                <w:b/>
                <w:sz w:val="18"/>
                <w:szCs w:val="18"/>
                <w:lang w:val="el-GR"/>
              </w:rPr>
            </w:pPr>
            <w:r>
              <w:rPr>
                <w:rFonts w:cs="Tahoma" w:ascii="Tahoma" w:hAnsi="Tahoma"/>
                <w:b/>
                <w:sz w:val="18"/>
                <w:szCs w:val="18"/>
                <w:lang w:val="el-GR"/>
              </w:rPr>
              <w:t>1.2  ΚΑΘΗΜΕΡΙΝΕΣ ΕΡΓΑΣΙΕΣ ΣΕ ΧΩΡΟΥΣ ΥΓΙΕΙΝΗΣ</w:t>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29"/>
              <w:rPr>
                <w:rFonts w:eastAsia="Arial Unicode MS"/>
                <w:kern w:val="2"/>
                <w:sz w:val="20"/>
                <w:szCs w:val="20"/>
                <w:lang w:val="el-GR" w:bidi="el-GR"/>
              </w:rPr>
            </w:pPr>
            <w:r>
              <w:rPr>
                <w:rFonts w:eastAsia="Arial Unicode MS"/>
                <w:kern w:val="2"/>
                <w:sz w:val="20"/>
                <w:szCs w:val="20"/>
                <w:lang w:val="el-GR" w:bidi="el-GR"/>
              </w:rPr>
              <w:t>Σκούπισμα και σφουγγάρισμα/απολύμανση δαπέδου με απολυμαντικό διάλυμα.</w:t>
            </w:r>
          </w:p>
        </w:tc>
        <w:tc>
          <w:tcPr>
            <w:tcW w:w="1019" w:type="dxa"/>
            <w:vMerge w:val="restart"/>
            <w:tcBorders>
              <w:top w:val="single" w:sz="4" w:space="0" w:color="000000"/>
              <w:lef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vMerge w:val="restart"/>
            <w:tcBorders>
              <w:top w:val="single" w:sz="4" w:space="0" w:color="000000"/>
              <w:lef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vMerge w:val="restart"/>
            <w:tcBorders>
              <w:top w:val="single" w:sz="4" w:space="0" w:color="000000"/>
              <w:left w:val="single" w:sz="4" w:space="0" w:color="000000"/>
              <w:righ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0"/>
              <w:rPr>
                <w:rFonts w:eastAsia="Arial Unicode MS"/>
                <w:kern w:val="2"/>
                <w:sz w:val="20"/>
                <w:szCs w:val="20"/>
                <w:lang w:val="el-GR" w:bidi="el-GR"/>
              </w:rPr>
            </w:pPr>
            <w:r>
              <w:rPr>
                <w:rFonts w:eastAsia="Arial Unicode MS"/>
                <w:kern w:val="2"/>
                <w:sz w:val="20"/>
                <w:szCs w:val="20"/>
                <w:lang w:val="el-GR" w:bidi="el-GR"/>
              </w:rPr>
              <w:t>Άδειασμα και καθάρισμα/πλύσιμο/απολύμανση δοχείων απορριμμάτων και πιγκάλ.</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trHeight w:val="432"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0"/>
              <w:rPr>
                <w:rFonts w:eastAsia="Arial Unicode MS"/>
                <w:kern w:val="2"/>
                <w:sz w:val="20"/>
                <w:szCs w:val="20"/>
                <w:lang w:val="el-GR" w:bidi="el-GR"/>
              </w:rPr>
            </w:pPr>
            <w:r>
              <w:rPr>
                <w:rFonts w:eastAsia="Arial Unicode MS"/>
                <w:kern w:val="2"/>
                <w:sz w:val="20"/>
                <w:szCs w:val="20"/>
                <w:lang w:val="el-GR" w:bidi="el-GR"/>
              </w:rPr>
              <w:t>Πλύσιμο/τρίψιμο/απολύμανση των ειδών υγιεινής (λεκάνες, καθίσματα, σκεπάσματα, νιπτήρες, μπαταρίες) με απολυμαντικό/χλώριο και σαπούνι αρωματικό.</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0"/>
              <w:rPr>
                <w:rFonts w:eastAsia="Arial Unicode MS"/>
                <w:kern w:val="2"/>
                <w:sz w:val="20"/>
                <w:szCs w:val="20"/>
                <w:lang w:val="el-GR" w:bidi="el-GR"/>
              </w:rPr>
            </w:pPr>
            <w:r>
              <w:rPr>
                <w:rFonts w:eastAsia="Arial Unicode MS"/>
                <w:kern w:val="2"/>
                <w:sz w:val="20"/>
                <w:szCs w:val="20"/>
                <w:lang w:val="el-GR" w:bidi="el-GR"/>
              </w:rPr>
              <w:t xml:space="preserve">Καθαρισμός/τρίψιμο τοίχων/πλακιδίων με πανιά προεμποτισμένα σε απολυμαντικό διάλυμα. </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pacing w:before="0" w:after="0"/>
              <w:rPr>
                <w:rFonts w:eastAsia="Arial Unicode MS"/>
                <w:kern w:val="2"/>
                <w:sz w:val="20"/>
                <w:szCs w:val="20"/>
                <w:lang w:val="el-GR" w:bidi="el-GR"/>
              </w:rPr>
            </w:pPr>
            <w:r>
              <w:rPr>
                <w:rFonts w:eastAsia="Arial Unicode MS"/>
                <w:kern w:val="2"/>
                <w:sz w:val="20"/>
                <w:szCs w:val="20"/>
                <w:lang w:val="el-GR" w:bidi="el-GR"/>
              </w:rPr>
              <w:t>Καθαρισμός θηκών χειροπετσετών και σαπουνοθηκών.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pacing w:before="0" w:after="0"/>
              <w:rPr>
                <w:rFonts w:eastAsia="Arial Unicode MS"/>
                <w:kern w:val="2"/>
                <w:sz w:val="20"/>
                <w:szCs w:val="20"/>
                <w:lang w:val="el-GR" w:bidi="el-GR"/>
              </w:rPr>
            </w:pPr>
            <w:r>
              <w:rPr>
                <w:rFonts w:eastAsia="Arial Unicode MS"/>
                <w:kern w:val="2"/>
                <w:sz w:val="20"/>
                <w:szCs w:val="20"/>
                <w:lang w:val="el-GR" w:bidi="el-GR"/>
              </w:rPr>
              <w:t>Καθαρισμός καθρεπτών.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pacing w:before="0" w:after="0"/>
              <w:rPr>
                <w:rFonts w:eastAsia="Arial Unicode MS"/>
                <w:kern w:val="2"/>
                <w:sz w:val="20"/>
                <w:szCs w:val="20"/>
                <w:lang w:val="el-GR" w:bidi="el-GR"/>
              </w:rPr>
            </w:pPr>
            <w:r>
              <w:rPr>
                <w:rFonts w:eastAsia="Arial Unicode MS"/>
                <w:kern w:val="2"/>
                <w:sz w:val="20"/>
                <w:szCs w:val="20"/>
                <w:lang w:val="el-GR" w:bidi="el-GR"/>
              </w:rPr>
              <w:t>Καθαρισμός χειρολαβών θυρών.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pacing w:before="0" w:after="0"/>
              <w:rPr>
                <w:rFonts w:eastAsia="Arial Unicode MS"/>
                <w:kern w:val="2"/>
                <w:sz w:val="20"/>
                <w:szCs w:val="20"/>
                <w:lang w:val="el-GR" w:bidi="el-GR"/>
              </w:rPr>
            </w:pPr>
            <w:r>
              <w:rPr>
                <w:rFonts w:eastAsia="Arial Unicode MS"/>
                <w:kern w:val="2"/>
                <w:sz w:val="20"/>
                <w:szCs w:val="20"/>
                <w:lang w:val="el-GR" w:bidi="el-GR"/>
              </w:rPr>
              <w:t>Τοποθέτηση χαρτιού υγείας, αντικατάσταση ή συμπλήρωση σαπουνιού, χειροπετσετών, σακούλων απορριμμάτων.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10426" w:type="dxa"/>
            <w:gridSpan w:val="4"/>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snapToGrid w:val="false"/>
              <w:spacing w:before="0" w:after="29"/>
              <w:rPr>
                <w:rFonts w:ascii="Tahoma" w:hAnsi="Tahoma" w:cs="Tahoma"/>
                <w:b/>
                <w:b/>
                <w:sz w:val="18"/>
                <w:szCs w:val="18"/>
              </w:rPr>
            </w:pPr>
            <w:r>
              <w:rPr>
                <w:rFonts w:cs="Tahoma" w:ascii="Tahoma" w:hAnsi="Tahoma"/>
                <w:b/>
                <w:sz w:val="18"/>
                <w:szCs w:val="18"/>
              </w:rPr>
            </w:r>
          </w:p>
          <w:p>
            <w:pPr>
              <w:pStyle w:val="Normal"/>
              <w:snapToGrid w:val="false"/>
              <w:spacing w:before="0" w:after="29"/>
              <w:rPr>
                <w:rFonts w:ascii="Tahoma" w:hAnsi="Tahoma" w:cs="Tahoma"/>
                <w:b/>
                <w:b/>
                <w:sz w:val="18"/>
                <w:szCs w:val="18"/>
              </w:rPr>
            </w:pPr>
            <w:r>
              <w:rPr>
                <w:rFonts w:cs="Tahoma" w:ascii="Tahoma" w:hAnsi="Tahoma"/>
                <w:b/>
                <w:sz w:val="18"/>
                <w:szCs w:val="18"/>
              </w:rPr>
              <w:t>1.3  ΕΒΔΟΜΑΔΙΑΙΕΣ ΕΡΓΑΣΙΕΣ</w:t>
            </w:r>
          </w:p>
        </w:tc>
      </w:tr>
      <w:tr>
        <w:trPr>
          <w:cantSplit w:val="true"/>
        </w:trPr>
        <w:tc>
          <w:tcPr>
            <w:tcW w:w="7144" w:type="dxa"/>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Καθαρισμός κάδων/καλαθιών απορριμμάτων, εσωτερικά και εξωτερικά</w:t>
            </w:r>
          </w:p>
        </w:tc>
        <w:tc>
          <w:tcPr>
            <w:tcW w:w="1019" w:type="dxa"/>
            <w:vMerge w:val="restart"/>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vMerge w:val="restart"/>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bCs/>
                <w:sz w:val="18"/>
                <w:szCs w:val="18"/>
              </w:rPr>
            </w:pPr>
            <w:r>
              <w:rPr>
                <w:rFonts w:cs="Tahoma" w:ascii="Tahoma" w:hAnsi="Tahoma"/>
                <w:b/>
                <w:bCs/>
                <w:sz w:val="18"/>
                <w:szCs w:val="18"/>
              </w:rPr>
            </w:r>
          </w:p>
        </w:tc>
        <w:tc>
          <w:tcPr>
            <w:tcW w:w="1255" w:type="dxa"/>
            <w:vMerge w:val="restart"/>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bCs/>
                <w:sz w:val="18"/>
                <w:szCs w:val="18"/>
              </w:rPr>
            </w:pPr>
            <w:r>
              <w:rPr>
                <w:rFonts w:cs="Tahoma" w:ascii="Tahoma" w:hAnsi="Tahoma"/>
                <w:b/>
                <w:bCs/>
                <w:sz w:val="18"/>
                <w:szCs w:val="18"/>
              </w:rPr>
            </w:r>
          </w:p>
        </w:tc>
      </w:tr>
      <w:tr>
        <w:trPr>
          <w:trHeight w:val="477" w:hRule="atLeast"/>
          <w:cantSplit w:val="true"/>
        </w:trPr>
        <w:tc>
          <w:tcPr>
            <w:tcW w:w="7144" w:type="dxa"/>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Καθαρισμός κλιματιστικών με απορρυπαντικό και νερό. (Τα κλιματιστικά μηχανήματα δεν απολυμαίνονται με απολυμαντικές ουσίες διότι υπάρχει περίπτωση να δημιουργηθούν τοξικοί ατμοί).</w:t>
            </w:r>
          </w:p>
        </w:tc>
        <w:tc>
          <w:tcPr>
            <w:tcW w:w="1019" w:type="dxa"/>
            <w:vMerge w:val="continue"/>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Ρίψη διαλύματος χλωρίου στα σιφώνια αποχέτευσης.</w:t>
            </w:r>
          </w:p>
        </w:tc>
        <w:tc>
          <w:tcPr>
            <w:tcW w:w="1019" w:type="dxa"/>
            <w:vMerge w:val="continue"/>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Καθάρισμα/πλύσιμο των ψυκτών (όπου υπάρχουν) των διαδρόμων με απορρυπαντικό και με απολυμαντικό.</w:t>
            </w:r>
          </w:p>
        </w:tc>
        <w:tc>
          <w:tcPr>
            <w:tcW w:w="1019" w:type="dxa"/>
            <w:vMerge w:val="continue"/>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Εξωτερικός καθαρισμός των μηχανημάτων γραφείων (φωτοτυπικά, εκτυπωτές, φαξ κλπ.), καθαρισμός τηλεφωνικών συσκευών, συσκευών Η/Υ.</w:t>
            </w:r>
          </w:p>
        </w:tc>
        <w:tc>
          <w:tcPr>
            <w:tcW w:w="1019" w:type="dxa"/>
            <w:vMerge w:val="continue"/>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10426" w:type="dxa"/>
            <w:gridSpan w:val="4"/>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snapToGrid w:val="false"/>
              <w:spacing w:before="0" w:after="0"/>
              <w:rPr>
                <w:rFonts w:ascii="Tahoma" w:hAnsi="Tahoma" w:cs="Tahoma"/>
                <w:b/>
                <w:b/>
                <w:sz w:val="18"/>
                <w:szCs w:val="18"/>
                <w:lang w:val="el-GR"/>
              </w:rPr>
            </w:pPr>
            <w:r>
              <w:rPr>
                <w:rFonts w:cs="Tahoma" w:ascii="Tahoma" w:hAnsi="Tahoma"/>
                <w:b/>
                <w:sz w:val="18"/>
                <w:szCs w:val="18"/>
                <w:lang w:val="el-GR"/>
              </w:rPr>
            </w:r>
          </w:p>
          <w:p>
            <w:pPr>
              <w:pStyle w:val="Normal"/>
              <w:snapToGrid w:val="false"/>
              <w:spacing w:before="0" w:after="0"/>
              <w:rPr/>
            </w:pPr>
            <w:r>
              <w:rPr>
                <w:rFonts w:cs="Tahoma" w:ascii="Tahoma" w:hAnsi="Tahoma"/>
                <w:b/>
                <w:sz w:val="18"/>
                <w:szCs w:val="18"/>
                <w:lang w:val="el-GR"/>
              </w:rPr>
              <w:t>1.4  ΜΗΝΙΑΙΕΣ ΕΡΓΑΣΙΕΣ (1</w:t>
            </w:r>
            <w:r>
              <w:rPr>
                <w:rFonts w:cs="Tahoma" w:ascii="Tahoma" w:hAnsi="Tahoma"/>
                <w:b/>
                <w:sz w:val="18"/>
                <w:szCs w:val="18"/>
                <w:vertAlign w:val="superscript"/>
                <w:lang w:val="el-GR"/>
              </w:rPr>
              <w:t>η</w:t>
            </w:r>
            <w:r>
              <w:rPr>
                <w:rFonts w:cs="Tahoma" w:ascii="Tahoma" w:hAnsi="Tahoma"/>
                <w:b/>
                <w:sz w:val="18"/>
                <w:szCs w:val="18"/>
                <w:lang w:val="el-GR"/>
              </w:rPr>
              <w:t xml:space="preserve"> εβδομάδα του μήνα)</w:t>
            </w:r>
          </w:p>
        </w:tc>
      </w:tr>
      <w:tr>
        <w:trPr>
          <w:trHeight w:val="473"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Σκούπισμα - καθάρισμα - πλύσιμο με πιεστικό νερού σε ακάλυπτους χώρους, πεζοδρόμια, εξωτερικά περβάζια, προαύλιους χώρους, φρεάτια, φωταγωγούς, στόμια κλιματισμού, ζαρντινιέρες, βεράντες (όπου απαιτείται)</w:t>
            </w:r>
          </w:p>
        </w:tc>
        <w:tc>
          <w:tcPr>
            <w:tcW w:w="1019" w:type="dxa"/>
            <w:vMerge w:val="restart"/>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vMerge w:val="restart"/>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trHeight w:val="464"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Πλύσιμο παραθύρων, ξεσκόνισμα περσίδων/βενετικών στορ με αντιστατικά ή προεμποτισμένα πανιά.</w:t>
            </w:r>
          </w:p>
        </w:tc>
        <w:tc>
          <w:tcPr>
            <w:tcW w:w="1019"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0"/>
              <w:rPr>
                <w:rFonts w:eastAsia="Arial Unicode MS"/>
                <w:kern w:val="2"/>
                <w:sz w:val="20"/>
                <w:szCs w:val="20"/>
                <w:lang w:val="el-GR" w:bidi="el-GR"/>
              </w:rPr>
            </w:pPr>
            <w:r>
              <w:rPr>
                <w:rFonts w:eastAsia="Arial Unicode MS"/>
                <w:kern w:val="2"/>
                <w:sz w:val="20"/>
                <w:szCs w:val="20"/>
                <w:lang w:val="el-GR" w:bidi="el-GR"/>
              </w:rPr>
              <w:t>Καθαρισμός υαλοπινάκων εσωτερικά και όπου υπάρχει δυνατότητα ασφαλούς πρόσβασης και εξωτερικά.</w:t>
            </w:r>
          </w:p>
        </w:tc>
        <w:tc>
          <w:tcPr>
            <w:tcW w:w="1019"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before="0" w:after="29"/>
              <w:rPr>
                <w:rFonts w:eastAsia="Arial Unicode MS"/>
                <w:kern w:val="2"/>
                <w:sz w:val="20"/>
                <w:szCs w:val="20"/>
                <w:lang w:val="el-GR" w:bidi="el-GR"/>
              </w:rPr>
            </w:pPr>
            <w:r>
              <w:rPr>
                <w:rFonts w:eastAsia="Arial Unicode MS"/>
                <w:kern w:val="2"/>
                <w:sz w:val="20"/>
                <w:szCs w:val="20"/>
                <w:lang w:val="el-GR" w:bidi="el-GR"/>
              </w:rPr>
              <w:t>Τοπικός καθαρισμός λεκέδων σε πόρτες και τοίχους</w:t>
            </w:r>
          </w:p>
        </w:tc>
        <w:tc>
          <w:tcPr>
            <w:tcW w:w="1019"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Άδειασμα του εσωτερικού κάδου ανακύκλωσης (όπου υπάρχει) στον κάδο ανακύκλωσης του Δήμου.</w:t>
            </w:r>
          </w:p>
          <w:p>
            <w:pPr>
              <w:pStyle w:val="Normal"/>
              <w:snapToGrid w:val="false"/>
              <w:spacing w:before="0" w:after="0"/>
              <w:rPr>
                <w:rFonts w:eastAsia="Arial Unicode MS"/>
                <w:kern w:val="2"/>
                <w:sz w:val="20"/>
                <w:szCs w:val="20"/>
                <w:lang w:val="el-GR" w:bidi="el-GR"/>
              </w:rPr>
            </w:pPr>
            <w:r>
              <w:rPr>
                <w:rFonts w:eastAsia="Arial Unicode MS"/>
                <w:kern w:val="2"/>
                <w:sz w:val="20"/>
                <w:szCs w:val="20"/>
                <w:lang w:val="el-GR" w:bidi="el-GR"/>
              </w:rPr>
            </w:r>
          </w:p>
        </w:tc>
        <w:tc>
          <w:tcPr>
            <w:tcW w:w="1019" w:type="dxa"/>
            <w:vMerge w:val="continue"/>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trHeight w:val="461" w:hRule="atLeast"/>
          <w:cantSplit w:val="true"/>
        </w:trPr>
        <w:tc>
          <w:tcPr>
            <w:tcW w:w="10426" w:type="dxa"/>
            <w:gridSpan w:val="4"/>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snapToGrid w:val="false"/>
              <w:spacing w:before="0" w:after="0"/>
              <w:rPr>
                <w:rFonts w:ascii="Tahoma" w:hAnsi="Tahoma" w:cs="Tahoma"/>
                <w:b/>
                <w:b/>
                <w:sz w:val="18"/>
                <w:szCs w:val="18"/>
                <w:lang w:val="el-GR"/>
              </w:rPr>
            </w:pPr>
            <w:r>
              <w:rPr>
                <w:rFonts w:cs="Tahoma" w:ascii="Tahoma" w:hAnsi="Tahoma"/>
                <w:b/>
                <w:sz w:val="18"/>
                <w:szCs w:val="18"/>
                <w:lang w:val="el-GR"/>
              </w:rPr>
              <w:t xml:space="preserve">1.5. ΜΗΝΙΑΙΕΣ ΕΡΓΑΣΙΕΣ ΣΕ ΑΡΧΕΙΑΚΟΥΣ/ΒΟΗΘΗΤΙΚΟΥΣ ΧΩΡΟΥΣ/ΑΠΟΘΗΚΕΣ </w:t>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 xml:space="preserve">Ξεσκόνισμα των ραφιών, σκούπισμα και σφουγγάρισμα των χώρων, συμπεριλαμβανομένων των κοινόχρηστων χώρων (κλιμακοστάσια, πλατύσκαλα, ανελκυστήρες). </w:t>
            </w:r>
          </w:p>
        </w:tc>
        <w:tc>
          <w:tcPr>
            <w:tcW w:w="1019" w:type="dxa"/>
            <w:vMerge w:val="restart"/>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vMerge w:val="restart"/>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vMerge w:val="restart"/>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cantSplit w:val="true"/>
        </w:trPr>
        <w:tc>
          <w:tcPr>
            <w:tcW w:w="7144" w:type="dxa"/>
            <w:tcBorders>
              <w:left w:val="single" w:sz="4" w:space="0" w:color="000000"/>
              <w:bottom w:val="single" w:sz="4" w:space="0" w:color="000000"/>
            </w:tcBorders>
            <w:shd w:color="auto" w:fill="auto" w:val="clear"/>
            <w:vAlign w:val="center"/>
          </w:tcPr>
          <w:p>
            <w:pPr>
              <w:pStyle w:val="Normal"/>
              <w:keepNext w:val="true"/>
              <w:widowControl w:val="false"/>
              <w:snapToGrid w:val="false"/>
              <w:spacing w:before="0" w:after="86"/>
              <w:rPr>
                <w:rFonts w:eastAsia="Arial Unicode MS"/>
                <w:kern w:val="2"/>
                <w:sz w:val="20"/>
                <w:szCs w:val="20"/>
                <w:lang w:val="el-GR" w:bidi="el-GR"/>
              </w:rPr>
            </w:pPr>
            <w:r>
              <w:rPr>
                <w:rFonts w:eastAsia="Arial Unicode MS"/>
                <w:kern w:val="2"/>
                <w:sz w:val="20"/>
                <w:szCs w:val="20"/>
                <w:lang w:val="el-GR" w:bidi="el-GR"/>
              </w:rPr>
              <w:t>Άδειασμα δοχείων απορριμμάτων και αντικατάσταση σακούλας απορριμμάτων.</w:t>
            </w:r>
          </w:p>
        </w:tc>
        <w:tc>
          <w:tcPr>
            <w:tcW w:w="1019"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trHeight w:val="681" w:hRule="atLeast"/>
          <w:cantSplit w:val="true"/>
        </w:trPr>
        <w:tc>
          <w:tcPr>
            <w:tcW w:w="10426" w:type="dxa"/>
            <w:gridSpan w:val="4"/>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keepNext w:val="true"/>
              <w:snapToGrid w:val="false"/>
              <w:spacing w:before="171" w:after="171"/>
              <w:rPr>
                <w:rFonts w:ascii="Tahoma" w:hAnsi="Tahoma" w:cs="Tahoma"/>
                <w:b/>
                <w:b/>
                <w:sz w:val="18"/>
                <w:szCs w:val="18"/>
                <w:lang w:val="el-GR"/>
              </w:rPr>
            </w:pPr>
            <w:r>
              <w:rPr>
                <w:rFonts w:cs="Tahoma" w:ascii="Tahoma" w:hAnsi="Tahoma"/>
                <w:b/>
                <w:sz w:val="18"/>
                <w:szCs w:val="18"/>
                <w:lang w:val="el-GR"/>
              </w:rPr>
              <w:t>2. ΑΠΑΙΤΟΥΜΕΝΟΣ (ΚΑΤΑ ΠΕΡΙΠΤΩΣΗ) ΕΞΟΠΛΙΣΜΟΣ &amp; ΜΗΧΑΝΗΜΑΤΑ, ΑΠΑΙΤΟΥΜΕΝΑ ΠΡΟΪΟΝΤΑ ΚΑΘΑΡΙΣΜΟΥ &amp; ΑΠΟΛΥΜΑΝΣΗΣ</w:t>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Αντιστατικά και απορροφητικά πανιά διαφόρων χρωμάτων τύπου wettex ή ισοδύναμου.</w:t>
            </w:r>
          </w:p>
        </w:tc>
        <w:tc>
          <w:tcPr>
            <w:tcW w:w="1019" w:type="dxa"/>
            <w:vMerge w:val="restart"/>
            <w:tcBorders>
              <w:top w:val="single" w:sz="4" w:space="0" w:color="000000"/>
              <w:lef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vMerge w:val="restart"/>
            <w:tcBorders>
              <w:top w:val="single" w:sz="4" w:space="0" w:color="000000"/>
              <w:lef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vMerge w:val="restart"/>
            <w:tcBorders>
              <w:top w:val="single" w:sz="4" w:space="0" w:color="000000"/>
              <w:left w:val="single" w:sz="4" w:space="0" w:color="000000"/>
              <w:righ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Σφουγγαράκια καθαρισμού αντίστοιχων χρωμάτων και διαφορετικού τύπου (μαλακό, μέτριο, σκληρό).</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86"/>
              <w:rPr>
                <w:rFonts w:eastAsia="Arial Unicode MS"/>
                <w:kern w:val="2"/>
                <w:sz w:val="20"/>
                <w:szCs w:val="20"/>
                <w:lang w:val="el-GR" w:bidi="el-GR"/>
              </w:rPr>
            </w:pPr>
            <w:r>
              <w:rPr>
                <w:rFonts w:eastAsia="Arial Unicode MS"/>
                <w:kern w:val="2"/>
                <w:sz w:val="20"/>
                <w:szCs w:val="20"/>
                <w:lang w:val="el-GR" w:bidi="el-GR"/>
              </w:rPr>
              <w:t>Σφουγγαρίστρες διαφόρων τύπων και αντίστοιχα κοντάρια</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Σάρωθρα ξηρού καθαρισμού (σκούπες) και αντίστοιχα κοντάρια.</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ind w:left="720" w:right="0" w:hanging="720"/>
              <w:rPr>
                <w:rFonts w:eastAsia="Arial Unicode MS"/>
                <w:kern w:val="2"/>
                <w:sz w:val="20"/>
                <w:szCs w:val="20"/>
                <w:lang w:val="el-GR" w:bidi="el-GR"/>
              </w:rPr>
            </w:pPr>
            <w:r>
              <w:rPr>
                <w:rFonts w:eastAsia="Arial Unicode MS"/>
                <w:kern w:val="2"/>
                <w:sz w:val="20"/>
                <w:szCs w:val="20"/>
                <w:lang w:val="el-GR" w:bidi="el-GR"/>
              </w:rPr>
              <w:t>Φαράσια</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ind w:left="720" w:right="0" w:hanging="720"/>
              <w:rPr>
                <w:rFonts w:eastAsia="Arial Unicode MS"/>
                <w:kern w:val="2"/>
                <w:sz w:val="20"/>
                <w:szCs w:val="20"/>
                <w:lang w:val="el-GR" w:bidi="el-GR"/>
              </w:rPr>
            </w:pPr>
            <w:r>
              <w:rPr>
                <w:rFonts w:eastAsia="Arial Unicode MS"/>
                <w:kern w:val="2"/>
                <w:sz w:val="20"/>
                <w:szCs w:val="20"/>
                <w:lang w:val="el-GR" w:bidi="el-GR"/>
              </w:rPr>
              <w:t>Καθαριστήρες περσίδων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Υαλοκαθαριστήρες διαφόρων διαστάσεων με τα εξαρτήματά τους.</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ind w:left="720" w:right="0" w:hanging="720"/>
              <w:rPr>
                <w:rFonts w:eastAsia="Arial Unicode MS"/>
                <w:kern w:val="2"/>
                <w:sz w:val="20"/>
                <w:szCs w:val="20"/>
                <w:lang w:val="el-GR" w:bidi="el-GR"/>
              </w:rPr>
            </w:pPr>
            <w:r>
              <w:rPr>
                <w:rFonts w:eastAsia="Arial Unicode MS"/>
                <w:kern w:val="2"/>
                <w:sz w:val="20"/>
                <w:szCs w:val="20"/>
                <w:lang w:val="el-GR" w:bidi="el-GR"/>
              </w:rPr>
              <w:t>Ψεκαστήρες</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ind w:left="720" w:right="0" w:hanging="720"/>
              <w:rPr>
                <w:rFonts w:eastAsia="Arial Unicode MS"/>
                <w:kern w:val="2"/>
                <w:sz w:val="20"/>
                <w:szCs w:val="20"/>
                <w:lang w:val="el-GR" w:bidi="el-GR"/>
              </w:rPr>
            </w:pPr>
            <w:r>
              <w:rPr>
                <w:rFonts w:eastAsia="Arial Unicode MS"/>
                <w:kern w:val="2"/>
                <w:sz w:val="20"/>
                <w:szCs w:val="20"/>
                <w:lang w:val="el-GR" w:bidi="el-GR"/>
              </w:rPr>
              <w:t>Γάντια οικιακού τύπου διαφόρων χρωμάτων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ind w:left="720" w:right="0" w:hanging="720"/>
              <w:rPr>
                <w:rFonts w:eastAsia="Arial Unicode MS"/>
                <w:kern w:val="2"/>
                <w:sz w:val="20"/>
                <w:szCs w:val="20"/>
                <w:lang w:val="el-GR" w:bidi="el-GR"/>
              </w:rPr>
            </w:pPr>
            <w:r>
              <w:rPr>
                <w:rFonts w:eastAsia="Arial Unicode MS"/>
                <w:kern w:val="2"/>
                <w:sz w:val="20"/>
                <w:szCs w:val="20"/>
                <w:lang w:val="el-GR" w:bidi="el-GR"/>
              </w:rPr>
              <w:t>Μικροί κουβάδες χωρητικότητας έως 10 λίτρων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Απορρυπαντικό τοίχων και δαπέδων, απορρυπαντικό υαλοπινάκων, απορρυπαντικό και απολυμαντικό ειδών υγιεινής</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Σακούλες πλαστικές απορριμμάτων, ανθεκτικές, μεγάλες και μικρές.</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trHeight w:val="391"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Καρότσια καθαρισμού, με στηρίγματα για κοντάρια και σάκο απορριμμάτων, ράφια για τα υλικά καθαρισμού (απορρυπαντικά και απολυμαντικά) και τις ανταλλακτικές σακούλες απορριμμάτων, με σύστημα 2 κουβάδων, με κάδους σφουγγαρίσματος διπλού συστήματος, με πρόσθετη πρέσα στυψίματος. Στον ένα κουβά θα υπάρχει το διάλυμα υλικού καθαριότητας και στον άλλο κουβά καθαρό νερό για το ξέπλυμα της σφουγγαρίστρας.</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Πιεστικό μηχάνημα νερού για τον καθαρισμό υπό πίεση επιφανειών, όπως εξωτερικοί χώροι, πεζοδρόμια, ράμπες, προαύλια, κ.λπ. (όπου απαιτείται).</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ind w:left="720" w:right="0" w:hanging="720"/>
              <w:rPr>
                <w:rFonts w:eastAsia="Arial Unicode MS"/>
                <w:kern w:val="2"/>
                <w:sz w:val="20"/>
                <w:szCs w:val="20"/>
                <w:lang w:val="el-GR" w:bidi="el-GR"/>
              </w:rPr>
            </w:pPr>
            <w:r>
              <w:rPr>
                <w:rFonts w:eastAsia="Arial Unicode MS"/>
                <w:kern w:val="2"/>
                <w:sz w:val="20"/>
                <w:szCs w:val="20"/>
                <w:lang w:val="el-GR" w:bidi="el-GR"/>
              </w:rPr>
              <w:t>Λάστιχα</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ind w:left="720" w:right="0" w:hanging="720"/>
              <w:rPr>
                <w:rFonts w:eastAsia="Arial Unicode MS"/>
                <w:kern w:val="2"/>
                <w:sz w:val="20"/>
                <w:szCs w:val="20"/>
                <w:lang w:val="el-GR" w:bidi="el-GR"/>
              </w:rPr>
            </w:pPr>
            <w:r>
              <w:rPr>
                <w:rFonts w:eastAsia="Arial Unicode MS"/>
                <w:kern w:val="2"/>
                <w:sz w:val="20"/>
                <w:szCs w:val="20"/>
                <w:lang w:val="el-GR" w:bidi="el-GR"/>
              </w:rPr>
              <w:t>Μπαλαντέζες</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Πινακίδες δαπέδου με την ένδειξη «ΠΡΟΣΟΧΗ ΒΡΕΓΜΕΝΟ ΠΑΤΩΜΑ» για την αποφυγή ατυχημάτων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Ηλεκτρικές σκούπες επαγγελματικού τύπου, με ειδικό φίλτρο κατακράτησης σκόνης</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ind w:left="34" w:right="0" w:hanging="34"/>
              <w:rPr>
                <w:rFonts w:eastAsia="Arial Unicode MS"/>
                <w:kern w:val="2"/>
                <w:sz w:val="20"/>
                <w:szCs w:val="20"/>
                <w:lang w:val="el-GR" w:bidi="el-GR"/>
              </w:rPr>
            </w:pPr>
            <w:r>
              <w:rPr>
                <w:rFonts w:eastAsia="Arial Unicode MS"/>
                <w:kern w:val="2"/>
                <w:sz w:val="20"/>
                <w:szCs w:val="20"/>
                <w:lang w:val="el-GR" w:bidi="el-GR"/>
              </w:rPr>
              <w:t>Μηχανές πλυσίματος μοκετών</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trHeight w:val="818" w:hRule="atLeast"/>
          <w:cantSplit w:val="true"/>
        </w:trPr>
        <w:tc>
          <w:tcPr>
            <w:tcW w:w="10426" w:type="dxa"/>
            <w:gridSpan w:val="4"/>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keepNext w:val="true"/>
              <w:snapToGrid w:val="false"/>
              <w:spacing w:before="0" w:after="29"/>
              <w:rPr>
                <w:rFonts w:eastAsia="Arial Unicode MS"/>
                <w:b/>
                <w:b/>
                <w:kern w:val="2"/>
                <w:sz w:val="20"/>
                <w:szCs w:val="20"/>
                <w:lang w:val="el-GR" w:bidi="el-GR"/>
              </w:rPr>
            </w:pPr>
            <w:r>
              <w:rPr>
                <w:rFonts w:eastAsia="Arial Unicode MS"/>
                <w:b/>
                <w:kern w:val="2"/>
                <w:sz w:val="20"/>
                <w:szCs w:val="20"/>
                <w:lang w:val="el-GR" w:bidi="el-GR"/>
              </w:rPr>
            </w:r>
          </w:p>
          <w:p>
            <w:pPr>
              <w:pStyle w:val="Normal"/>
              <w:snapToGrid w:val="false"/>
              <w:spacing w:before="0" w:after="29"/>
              <w:rPr>
                <w:rFonts w:eastAsia="Arial Unicode MS"/>
                <w:b/>
                <w:b/>
                <w:kern w:val="2"/>
                <w:sz w:val="20"/>
                <w:szCs w:val="20"/>
                <w:lang w:val="el-GR" w:bidi="el-GR"/>
              </w:rPr>
            </w:pPr>
            <w:r>
              <w:rPr>
                <w:rFonts w:eastAsia="Arial Unicode MS"/>
                <w:b/>
                <w:kern w:val="2"/>
                <w:sz w:val="20"/>
                <w:szCs w:val="20"/>
                <w:lang w:val="el-GR" w:bidi="el-GR"/>
              </w:rPr>
              <w:t>3. Ο ΧΡΗΣΙΜΟΠΟΙΟΥΜΕΝΟΣ ΤΕΧΝΙΚΟΣ ΕΞΟΠΛΙΣΜΟΣ ΚΑΙ ΤΑ ΧΡΗΣΙΜΟΠΟΙΟΥΜΕΝΑ ΠΡΟΪΟΝΤΑ ΚΑΘΑΡΙΣΜΟΥ &amp; ΑΠΟΛΥΜΑΝΣΗΣ ΠΡΕΠΕΙ ΝΑ ΠΛΗΡΟΥΝ ΤΙΣ ΕΞΗΣ ΠΡΟΔΙΑΓΡΑΦΕΣ:</w:t>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Ο εξοπλισμός να ανταποκρίνεται πλήρως στις ανάγκες της Υπηρεσίας για την καθαριότητα.</w:t>
            </w:r>
          </w:p>
        </w:tc>
        <w:tc>
          <w:tcPr>
            <w:tcW w:w="1019" w:type="dxa"/>
            <w:vMerge w:val="restart"/>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vMerge w:val="restart"/>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Ο εξοπλισμός και τα υλικά καθαρισμού, να είναι πρώτης ποιότητας και πλέον κατάλληλος/α για τις επιφάνειες που προορίζονται (πλακάκια κεραμικά, ξύλινες και μεταλλικές επιφάνειες, επιφάνειες με μελαμίνη, μαρμάρινες επιφάνειες, τζάμια, κλπ.)</w:t>
            </w:r>
          </w:p>
        </w:tc>
        <w:tc>
          <w:tcPr>
            <w:tcW w:w="1019" w:type="dxa"/>
            <w:vMerge w:val="continue"/>
            <w:tcBorders>
              <w:top w:val="single" w:sz="4" w:space="0" w:color="000000"/>
              <w:left w:val="single" w:sz="4" w:space="0" w:color="000000"/>
              <w:bottom w:val="single" w:sz="4" w:space="0" w:color="000000"/>
            </w:tcBorders>
            <w:shd w:color="auto" w:fill="auto" w:val="clear"/>
            <w:vAlign w:val="center"/>
          </w:tcPr>
          <w:p>
            <w:pPr>
              <w:pStyle w:val="Normal"/>
              <w:spacing w:before="0" w:after="120"/>
              <w:rPr/>
            </w:pPr>
            <w:r>
              <w:rPr/>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 xml:space="preserve">Τα αναγκαία σκεύη, εργαλεία και υλικά καθαρισμού να μην προκαλούν φθορές (βραχυχρόνια και μακροχρόνια) στις εγκαταστάσεις και στον εξοπλισμό του κτιρίου. </w:t>
            </w:r>
          </w:p>
        </w:tc>
        <w:tc>
          <w:tcPr>
            <w:tcW w:w="1019" w:type="dxa"/>
            <w:vMerge w:val="continue"/>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 xml:space="preserve">Τα μηχανήματα καθαρισμού θα πρέπει να βρίσκονται σε άριστη κατάσταση τόσο από άποψη λειτουργίας όσο και από εμφάνιση και να είναι όσο το δυνατόν αθόρυβα. </w:t>
            </w:r>
          </w:p>
        </w:tc>
        <w:tc>
          <w:tcPr>
            <w:tcW w:w="1019" w:type="dxa"/>
            <w:vMerge w:val="continue"/>
            <w:tcBorders>
              <w:top w:val="single" w:sz="4" w:space="0" w:color="000000"/>
              <w:left w:val="single" w:sz="4" w:space="0" w:color="000000"/>
              <w:bottom w:val="single" w:sz="4" w:space="0" w:color="000000"/>
            </w:tcBorders>
            <w:shd w:color="auto" w:fill="auto" w:val="clear"/>
            <w:vAlign w:val="center"/>
          </w:tcPr>
          <w:p>
            <w:pPr>
              <w:pStyle w:val="Normal"/>
              <w:spacing w:before="0" w:after="120"/>
              <w:rPr/>
            </w:pPr>
            <w:r>
              <w:rPr/>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Τα απαιτούμενα αναλώσιμα υλικά και προϊόντα καθαρισμού και απολύμανσης πρέπει να είναι καινούρια, αμεταχείριστα και κατασκευασμένα – παρασκευασμένα σύμφωνα με τις πρόσφατες επιστημονικές επιταγές και εξελίξεις.</w:t>
            </w:r>
          </w:p>
        </w:tc>
        <w:tc>
          <w:tcPr>
            <w:tcW w:w="1019" w:type="dxa"/>
            <w:vMerge w:val="continue"/>
            <w:tcBorders>
              <w:top w:val="single" w:sz="4" w:space="0" w:color="000000"/>
              <w:left w:val="single" w:sz="4" w:space="0" w:color="000000"/>
              <w:bottom w:val="single" w:sz="4" w:space="0" w:color="000000"/>
            </w:tcBorders>
            <w:shd w:color="auto" w:fill="auto" w:val="clear"/>
            <w:vAlign w:val="center"/>
          </w:tcPr>
          <w:p>
            <w:pPr>
              <w:pStyle w:val="Normal"/>
              <w:spacing w:before="0" w:after="120"/>
              <w:rPr/>
            </w:pPr>
            <w:r>
              <w:rPr/>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 xml:space="preserve">Τα υλικά καθαρισμού που θα χρησιμοποιούνται θα έχουν καθαριστική και απολυμαντική (κατά περίπτωση) δράση. </w:t>
            </w:r>
          </w:p>
        </w:tc>
        <w:tc>
          <w:tcPr>
            <w:tcW w:w="1019" w:type="dxa"/>
            <w:vMerge w:val="restart"/>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Τα απορρυπαντικά προϊόντα να μην είναι επιβλαβή για την υγεία του προσωπικού και των επισκεπτών, να μην αναδύουν δυσάρεστες οσμές και να μην προκαλούν φθορές στις εγκαταστάσεις και στον εξοπλισμό των κτιρίων.</w:t>
            </w:r>
          </w:p>
        </w:tc>
        <w:tc>
          <w:tcPr>
            <w:tcW w:w="10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 xml:space="preserve">Τα προϊόντα καθαρισμού να παρέχονται στο προσωπικό του συνεργείου καθαρισμού στη συσκευασία και με τη σύνθεση – διάλυση της εταιρείας παραγωγής τους. </w:t>
            </w:r>
          </w:p>
        </w:tc>
        <w:tc>
          <w:tcPr>
            <w:tcW w:w="10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Όλα τα απορρυπαντικά και απολυμαντικά θα έχουν ετικέτα στην οποία θα αναγράφεται από τον κατασκευαστή η δραστική ουσία και η περιεκτικότητά της στο διάλυμα. Δεν θα χρησιμοποιούνται απορρυπαντικά με την επωνυμία καλλυντικό δαπέδου.</w:t>
            </w:r>
          </w:p>
        </w:tc>
        <w:tc>
          <w:tcPr>
            <w:tcW w:w="1019" w:type="dxa"/>
            <w:vMerge w:val="restart"/>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 xml:space="preserve">Για κάθε προϊόν απολύμανσης να υπάρχει άδεια έγκρισης κυκλοφορίας από τον ΕΟΦ </w:t>
            </w:r>
          </w:p>
        </w:tc>
        <w:tc>
          <w:tcPr>
            <w:tcW w:w="10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 xml:space="preserve">Για τα απορρυπαντικά που ταξινομούνται ως επικίνδυνα βάσει των επιπτώσεών τους στην υγεία ή των φυσικών τους επιπτώσεων, απαιτείται να είναι καταχωρημένα στο Εθνικό Μητρώο Χημικών Προϊόντων του Γ.Χ.Κ. </w:t>
            </w:r>
          </w:p>
        </w:tc>
        <w:tc>
          <w:tcPr>
            <w:tcW w:w="10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10426" w:type="dxa"/>
            <w:gridSpan w:val="4"/>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keepNext w:val="true"/>
              <w:snapToGrid w:val="false"/>
              <w:spacing w:before="228" w:after="228"/>
              <w:rPr>
                <w:rFonts w:ascii="Tahoma" w:hAnsi="Tahoma" w:cs="Tahoma"/>
                <w:b/>
                <w:b/>
                <w:bCs/>
                <w:sz w:val="18"/>
                <w:szCs w:val="18"/>
              </w:rPr>
            </w:pPr>
            <w:r>
              <w:rPr>
                <w:rFonts w:cs="Tahoma" w:ascii="Tahoma" w:hAnsi="Tahoma"/>
                <w:b/>
                <w:bCs/>
                <w:sz w:val="18"/>
                <w:szCs w:val="18"/>
              </w:rPr>
              <w:t>4. ΜΕΘΟΔΟΛΟΓΙΑ ΚΑΘΑΡΙΣΜΟΥ</w:t>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00"/>
              <w:rPr/>
            </w:pPr>
            <w:r>
              <w:rPr>
                <w:rFonts w:eastAsia="Arial Unicode MS"/>
                <w:kern w:val="2"/>
                <w:sz w:val="20"/>
                <w:szCs w:val="20"/>
                <w:lang w:val="el-GR" w:bidi="el-GR"/>
              </w:rPr>
              <w:t>Το προσωπικό καθαριότητας θα πρέπει να φορά ομοιόμορφη στολή εργασίας, η οποία εγκρίνεται και παρέχεται από τον εργοδότη.</w:t>
            </w:r>
            <w:r>
              <w:rPr>
                <w:rFonts w:eastAsia="Arial Unicode MS"/>
                <w:color w:val="FF0000"/>
                <w:kern w:val="2"/>
                <w:sz w:val="20"/>
                <w:szCs w:val="20"/>
                <w:lang w:val="el-GR" w:bidi="el-GR"/>
              </w:rPr>
              <w:t xml:space="preserve"> </w:t>
            </w:r>
          </w:p>
        </w:tc>
        <w:tc>
          <w:tcPr>
            <w:tcW w:w="1019" w:type="dxa"/>
            <w:vMerge w:val="restart"/>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vMerge w:val="restart"/>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color w:val="FF0000"/>
                <w:sz w:val="18"/>
                <w:szCs w:val="18"/>
              </w:rPr>
            </w:pPr>
            <w:r>
              <w:rPr>
                <w:rFonts w:cs="Tahoma" w:ascii="Tahoma" w:hAnsi="Tahoma"/>
                <w:b/>
                <w:color w:val="FF0000"/>
                <w:sz w:val="18"/>
                <w:szCs w:val="18"/>
              </w:rPr>
            </w:r>
          </w:p>
        </w:tc>
        <w:tc>
          <w:tcPr>
            <w:tcW w:w="1255" w:type="dxa"/>
            <w:vMerge w:val="restart"/>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color w:val="FF0000"/>
                <w:sz w:val="18"/>
                <w:szCs w:val="18"/>
              </w:rPr>
            </w:pPr>
            <w:r>
              <w:rPr>
                <w:rFonts w:cs="Tahoma" w:ascii="Tahoma" w:hAnsi="Tahoma"/>
                <w:b/>
                <w:color w:val="FF0000"/>
                <w:sz w:val="18"/>
                <w:szCs w:val="18"/>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00"/>
              <w:ind w:left="0" w:right="0" w:hanging="34"/>
              <w:rPr>
                <w:rFonts w:eastAsia="Arial Unicode MS"/>
                <w:kern w:val="2"/>
                <w:sz w:val="20"/>
                <w:szCs w:val="20"/>
                <w:lang w:val="el-GR" w:bidi="el-GR"/>
              </w:rPr>
            </w:pPr>
            <w:r>
              <w:rPr>
                <w:rFonts w:eastAsia="Arial Unicode MS"/>
                <w:kern w:val="2"/>
                <w:sz w:val="20"/>
                <w:szCs w:val="20"/>
                <w:lang w:val="el-GR" w:bidi="el-GR"/>
              </w:rPr>
              <w:t xml:space="preserve">Το προσωπικό καθαριότητας θα πρέπει να γνωρίζει τη χρήση του εξοπλισμού και των καθαριστικών που χρησιμοποιεί. </w:t>
            </w:r>
          </w:p>
        </w:tc>
        <w:tc>
          <w:tcPr>
            <w:tcW w:w="1019"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Η διαδικασία καθαριότητας και απολύμανσης συνιστάται να αρχίζει πάντα από τον λιγότερο ακάθαρτο χώρο προς τον περισσότερο ακάθαρτο χώρο. Οι χώροι υγιεινής πρέπει να καθαρίζονται στο τέλος.</w:t>
            </w:r>
          </w:p>
        </w:tc>
        <w:tc>
          <w:tcPr>
            <w:tcW w:w="1019"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Απαγορεύεται η ανάμιξη απορρυπαντικού και απολυμαντικού στον ίδιο κουβά (π.χ. καθαριστικό δαπέδου και χλωρίνη). Η δράση του ενός εξουδετερώνει τη δράση του άλλου.</w:t>
            </w:r>
          </w:p>
        </w:tc>
        <w:tc>
          <w:tcPr>
            <w:tcW w:w="1019"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 xml:space="preserve">Οι σφουγγαρίστρες, τα πανιά και τα γάντια θα καθαρίζονται πάντα μετά τη χρήση τους. Θα πλένονται με ζεστό νερό και απορρυπαντικό και θα στεγνώνονται. </w:t>
            </w:r>
          </w:p>
          <w:p>
            <w:pPr>
              <w:pStyle w:val="Normal"/>
              <w:snapToGrid w:val="false"/>
              <w:spacing w:before="0" w:after="0"/>
              <w:rPr>
                <w:rFonts w:eastAsia="Arial Unicode MS"/>
                <w:kern w:val="2"/>
                <w:sz w:val="20"/>
                <w:szCs w:val="20"/>
                <w:lang w:val="el-GR" w:bidi="el-GR"/>
              </w:rPr>
            </w:pPr>
            <w:r>
              <w:rPr>
                <w:rFonts w:eastAsia="Arial Unicode MS"/>
                <w:kern w:val="2"/>
                <w:sz w:val="20"/>
                <w:szCs w:val="20"/>
                <w:lang w:val="el-GR" w:bidi="el-GR"/>
              </w:rPr>
            </w:r>
          </w:p>
        </w:tc>
        <w:tc>
          <w:tcPr>
            <w:tcW w:w="1019"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Το προσωπικό καθαριότητας απαγορεύεται να αγγίζει με τα γάντια οποιαδήποτε αντικείμενα άσχετα με αυτά που καθαρίζει εκείνη τη στιγμή (πόμολα, τηλεφωνικές συσκευές, προσωπικά αντικείμενα κ.λ.π.).</w:t>
            </w:r>
          </w:p>
        </w:tc>
        <w:tc>
          <w:tcPr>
            <w:tcW w:w="1019"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 xml:space="preserve">Θα τηρείται σχολαστικά η χρήση των διαφορετικού χρώματος πανιών και γαντιών για τον καθαρισμό διαφορετικών χώρων και αντικειμένων. </w:t>
            </w:r>
          </w:p>
        </w:tc>
        <w:tc>
          <w:tcPr>
            <w:tcW w:w="1019"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ind w:left="34" w:right="0" w:hanging="0"/>
              <w:rPr>
                <w:rFonts w:eastAsia="Arial Unicode MS"/>
                <w:kern w:val="2"/>
                <w:sz w:val="20"/>
                <w:szCs w:val="20"/>
                <w:lang w:val="el-GR" w:bidi="el-GR"/>
              </w:rPr>
            </w:pPr>
            <w:r>
              <w:rPr>
                <w:rFonts w:eastAsia="Arial Unicode MS"/>
                <w:kern w:val="2"/>
                <w:sz w:val="20"/>
                <w:szCs w:val="20"/>
                <w:lang w:val="el-GR" w:bidi="el-GR"/>
              </w:rPr>
              <w:t>Θα χρησιμοποιούνται σφουγγαρίστρες διαφορετικές για γραφεία-κοινόχρηστους χώρους και διαφορετικές για W.C.</w:t>
            </w:r>
          </w:p>
        </w:tc>
        <w:tc>
          <w:tcPr>
            <w:tcW w:w="1019"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ind w:left="34" w:right="0" w:hanging="0"/>
              <w:rPr>
                <w:rFonts w:eastAsia="Arial Unicode MS"/>
                <w:kern w:val="2"/>
                <w:sz w:val="20"/>
                <w:szCs w:val="20"/>
                <w:lang w:val="el-GR" w:bidi="el-GR"/>
              </w:rPr>
            </w:pPr>
            <w:r>
              <w:rPr>
                <w:rFonts w:eastAsia="Arial Unicode MS"/>
                <w:kern w:val="2"/>
                <w:sz w:val="20"/>
                <w:szCs w:val="20"/>
                <w:lang w:val="el-GR" w:bidi="el-GR"/>
              </w:rPr>
              <w:t>Θα χρησιμοποιούνται διαφορετικοί κάδοι σφουγγαρίσματος διπλού συστήματος για γραφεία -κοινόχρηστους χώρους, διαφορετικοί για W.C.</w:t>
            </w:r>
          </w:p>
        </w:tc>
        <w:tc>
          <w:tcPr>
            <w:tcW w:w="1019"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ind w:left="34" w:right="0" w:hanging="0"/>
              <w:rPr>
                <w:rFonts w:eastAsia="Arial Unicode MS"/>
                <w:kern w:val="2"/>
                <w:sz w:val="20"/>
                <w:szCs w:val="20"/>
                <w:lang w:val="el-GR" w:bidi="el-GR"/>
              </w:rPr>
            </w:pPr>
            <w:r>
              <w:rPr>
                <w:rFonts w:eastAsia="Arial Unicode MS"/>
                <w:kern w:val="2"/>
                <w:sz w:val="20"/>
                <w:szCs w:val="20"/>
                <w:lang w:val="el-GR" w:bidi="el-GR"/>
              </w:rPr>
              <w:t>Τα καρότσια καθαριότητας και οι κουβάδες θα διατηρούνται πάντα καθαρά.</w:t>
            </w:r>
          </w:p>
          <w:p>
            <w:pPr>
              <w:pStyle w:val="Normal"/>
              <w:snapToGrid w:val="false"/>
              <w:spacing w:before="0" w:after="29"/>
              <w:ind w:left="34" w:right="0" w:hanging="0"/>
              <w:rPr>
                <w:rFonts w:eastAsia="Arial Unicode MS"/>
                <w:kern w:val="2"/>
                <w:sz w:val="20"/>
                <w:szCs w:val="20"/>
                <w:lang w:val="el-GR" w:bidi="el-GR"/>
              </w:rPr>
            </w:pPr>
            <w:r>
              <w:rPr>
                <w:rFonts w:eastAsia="Arial Unicode MS"/>
                <w:kern w:val="2"/>
                <w:sz w:val="20"/>
                <w:szCs w:val="20"/>
                <w:lang w:val="el-GR" w:bidi="el-GR"/>
              </w:rPr>
            </w:r>
          </w:p>
        </w:tc>
        <w:tc>
          <w:tcPr>
            <w:tcW w:w="1019"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Απαγορεύεται η αποθήκευση των καροτσιών καθαριότητας σε εισόδους κλιμακοστασίων και εξόδους κινδύνου, σε χώρους υγιεινής και προθαλάμους αυτών. Πρέπει να φυλάσσονται, όπως και τα υλικά καθαριότητας, σε χώρο που έχει ορισθεί ειδικά για την αποθήκευσή τους.</w:t>
            </w:r>
          </w:p>
        </w:tc>
        <w:tc>
          <w:tcPr>
            <w:tcW w:w="1019"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 xml:space="preserve">Τα απορρίμματα θα συλλέγονται καθημερινά και όποτε άλλοτε απαιτηθεί. Το προσωπικό καθαριότητας  θα πρέπει να συλλέγει τα κοινά αστικού χαρακτήρα απορρίμματα σε σακούλες και θα τα μεταφέρει στους χώρους αποκομιδής έξω από τα κτήρια. </w:t>
            </w:r>
          </w:p>
        </w:tc>
        <w:tc>
          <w:tcPr>
            <w:tcW w:w="1019" w:type="dxa"/>
            <w:vMerge w:val="continue"/>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trHeight w:val="270" w:hRule="atLeast"/>
          <w:cantSplit w:val="true"/>
        </w:trPr>
        <w:tc>
          <w:tcPr>
            <w:tcW w:w="10426" w:type="dxa"/>
            <w:gridSpan w:val="4"/>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keepNext w:val="true"/>
              <w:snapToGrid w:val="false"/>
              <w:spacing w:before="0" w:after="200"/>
              <w:ind w:left="-3" w:right="-3" w:hanging="0"/>
              <w:rPr>
                <w:rFonts w:eastAsia="Arial Unicode MS"/>
                <w:b/>
                <w:b/>
                <w:bCs/>
                <w:kern w:val="2"/>
                <w:sz w:val="20"/>
                <w:szCs w:val="20"/>
                <w:lang w:val="el-GR" w:bidi="el-GR"/>
              </w:rPr>
            </w:pPr>
            <w:r>
              <w:rPr>
                <w:rFonts w:eastAsia="Arial Unicode MS"/>
                <w:b/>
                <w:bCs/>
                <w:kern w:val="2"/>
                <w:sz w:val="20"/>
                <w:szCs w:val="20"/>
                <w:lang w:val="el-GR" w:bidi="el-GR"/>
              </w:rPr>
            </w:r>
          </w:p>
          <w:p>
            <w:pPr>
              <w:pStyle w:val="Normal"/>
              <w:snapToGrid w:val="false"/>
              <w:spacing w:before="0" w:after="200"/>
              <w:ind w:left="-3" w:right="-3" w:hanging="0"/>
              <w:rPr>
                <w:rFonts w:eastAsia="Arial Unicode MS"/>
                <w:b/>
                <w:b/>
                <w:bCs/>
                <w:kern w:val="2"/>
                <w:sz w:val="20"/>
                <w:szCs w:val="20"/>
                <w:lang w:val="el-GR" w:bidi="el-GR"/>
              </w:rPr>
            </w:pPr>
            <w:r>
              <w:rPr>
                <w:rFonts w:eastAsia="Arial Unicode MS"/>
                <w:b/>
                <w:bCs/>
                <w:kern w:val="2"/>
                <w:sz w:val="20"/>
                <w:szCs w:val="20"/>
                <w:lang w:val="el-GR" w:bidi="el-GR"/>
              </w:rPr>
              <w:t>5. Ο ΚΑΘΕ ΥΠΟΨΗΦΙΟΣ ΑΝΑΔΟΧΟΣ ΘΑ ΠΡΕΠΕΙ ΝΑ ΚΑΤΑΘΕΣΕΙ ΜΑΖΙ ΜΕ ΤΗΝ ΠΡΟΣΦΟΡΑ ΤΟΥ:</w:t>
            </w:r>
          </w:p>
        </w:tc>
      </w:tr>
      <w:tr>
        <w:trPr>
          <w:trHeight w:val="904"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pPr>
            <w:r>
              <w:rPr>
                <w:rFonts w:eastAsia="Arial Unicode MS"/>
                <w:kern w:val="2"/>
                <w:sz w:val="20"/>
                <w:szCs w:val="20"/>
                <w:lang w:val="el-GR" w:bidi="el-GR"/>
              </w:rPr>
              <w:t xml:space="preserve">5.1 </w:t>
            </w:r>
            <w:r>
              <w:rPr>
                <w:rFonts w:eastAsia="Arial Unicode MS"/>
                <w:b/>
                <w:kern w:val="2"/>
                <w:sz w:val="20"/>
                <w:szCs w:val="20"/>
                <w:lang w:val="el-GR" w:bidi="el-GR"/>
              </w:rPr>
              <w:t>Υπεύθυνη δήλωση</w:t>
            </w:r>
            <w:r>
              <w:rPr>
                <w:rFonts w:eastAsia="Arial Unicode MS"/>
                <w:kern w:val="2"/>
                <w:sz w:val="20"/>
                <w:szCs w:val="20"/>
                <w:lang w:val="el-GR" w:bidi="el-GR"/>
              </w:rPr>
              <w:t xml:space="preserve"> της παρ. 4 του άρθρου 8 του Ν 1599/1986 στην οποία να δηλώνει τον εξοπλισμό και τα μηχανήματα που πρόκειται να χρησιμοποιήσει, ότι αυτά θα είναι άμεσα διαθέσιμα για τις ανάγκες καθαριότητας σύμφωνα με τον προγραμματισμό των καθημερινών και τακτικών ή έκτακτων εργασιών, ότι εγγυάται την καλή λειτουργία αυτών, ότι το προσωπικό το οποίο θα χειρίζεται τα μηχανήματα, έχει εκπαιδευτεί και γνωρίζει τον τρόπο λειτουργίας και χειρισμού τους.</w:t>
            </w:r>
          </w:p>
        </w:tc>
        <w:tc>
          <w:tcPr>
            <w:tcW w:w="101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trHeight w:val="644"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pPr>
            <w:r>
              <w:rPr>
                <w:rFonts w:eastAsia="Arial Unicode MS"/>
                <w:kern w:val="2"/>
                <w:sz w:val="20"/>
                <w:szCs w:val="20"/>
                <w:lang w:val="el-GR" w:bidi="el-GR"/>
              </w:rPr>
              <w:t xml:space="preserve">5.2 </w:t>
            </w:r>
            <w:r>
              <w:rPr>
                <w:rFonts w:eastAsia="Arial Unicode MS"/>
                <w:b/>
                <w:kern w:val="2"/>
                <w:sz w:val="20"/>
                <w:szCs w:val="20"/>
                <w:lang w:val="el-GR" w:bidi="el-GR"/>
              </w:rPr>
              <w:t>Διαφημιστικό βιβλιάριο ή φυλλάδιο της εταιρείας (prospectus)</w:t>
            </w:r>
            <w:r>
              <w:rPr>
                <w:rFonts w:eastAsia="Arial Unicode MS"/>
                <w:kern w:val="2"/>
                <w:sz w:val="20"/>
                <w:szCs w:val="20"/>
                <w:lang w:val="el-GR" w:bidi="el-GR"/>
              </w:rPr>
              <w:t xml:space="preserve"> για τα συγκεκριμένα μηχανήματα και εξοπλισμό που θα περιέχει τα γενικά χαρακτηριστικά τους.</w:t>
            </w:r>
            <w:r>
              <w:rPr>
                <w:rFonts w:eastAsia="Arial Unicode MS"/>
                <w:b/>
                <w:kern w:val="2"/>
                <w:sz w:val="20"/>
                <w:szCs w:val="20"/>
                <w:lang w:val="el-GR" w:bidi="el-GR"/>
              </w:rPr>
              <w:t xml:space="preserve"> </w:t>
            </w:r>
            <w:r>
              <w:rPr>
                <w:rFonts w:eastAsia="Arial Unicode MS"/>
                <w:kern w:val="2"/>
                <w:sz w:val="20"/>
                <w:szCs w:val="20"/>
                <w:lang w:val="el-GR" w:bidi="el-GR"/>
              </w:rPr>
              <w:t>Η Επιτροπή Αξιολόγησης δύναται κατά την κρίση της να ζητήσει από τον υποψήφιο ανάδοχο διευκρινίσεις για την πληρέστερη διαπίστωση των τεχνικών χαρακτηριστικών και δυνατοτήτων των μηχανημάτων και του εξοπλισμού, χωρίς καμία απαίτηση του υποψηφίου Αναδόχου.</w:t>
            </w:r>
          </w:p>
        </w:tc>
        <w:tc>
          <w:tcPr>
            <w:tcW w:w="101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trHeight w:val="898"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pPr>
            <w:r>
              <w:rPr>
                <w:rFonts w:eastAsia="Arial Unicode MS"/>
                <w:kern w:val="2"/>
                <w:sz w:val="20"/>
                <w:szCs w:val="20"/>
                <w:lang w:val="el-GR" w:bidi="el-GR"/>
              </w:rPr>
              <w:t xml:space="preserve">5.3 Για τα χρησιμοποιούμενα απολυμαντικά και απορρυπαντικά προϊόντα με απολυμαντική δράση, απαιτείται </w:t>
            </w:r>
            <w:r>
              <w:rPr>
                <w:rFonts w:eastAsia="Arial Unicode MS"/>
                <w:b/>
                <w:kern w:val="2"/>
                <w:sz w:val="20"/>
                <w:szCs w:val="20"/>
                <w:lang w:val="el-GR" w:bidi="el-GR"/>
              </w:rPr>
              <w:t xml:space="preserve">Υπεύθυνη δήλωση </w:t>
            </w:r>
            <w:r>
              <w:rPr>
                <w:rFonts w:eastAsia="Arial Unicode MS"/>
                <w:kern w:val="2"/>
                <w:sz w:val="20"/>
                <w:szCs w:val="20"/>
                <w:lang w:val="el-GR" w:bidi="el-GR"/>
              </w:rPr>
              <w:t>του υποψηφίου Αναδόχου, της παρ. 4 του άρθρου 8 του ν.1599/1986 ότι υπάρχει σχετική άδεια κυκλοφορίας για κάθε ένα από αυτά στην Ελλάδα από τον Ε.Ο.Φ.</w:t>
            </w:r>
          </w:p>
        </w:tc>
        <w:tc>
          <w:tcPr>
            <w:tcW w:w="101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trHeight w:val="1121"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86"/>
              <w:rPr/>
            </w:pPr>
            <w:r>
              <w:rPr>
                <w:rFonts w:eastAsia="Arial Unicode MS"/>
                <w:kern w:val="2"/>
                <w:sz w:val="20"/>
                <w:szCs w:val="20"/>
                <w:lang w:val="el-GR" w:bidi="el-GR"/>
              </w:rPr>
              <w:t xml:space="preserve">5.4 </w:t>
            </w:r>
            <w:r>
              <w:rPr>
                <w:rFonts w:eastAsia="Arial Unicode MS"/>
                <w:b/>
                <w:kern w:val="2"/>
                <w:sz w:val="20"/>
                <w:szCs w:val="20"/>
                <w:lang w:val="el-GR" w:bidi="el-GR"/>
              </w:rPr>
              <w:t>Υπεύθυνη δήλωση</w:t>
            </w:r>
            <w:r>
              <w:rPr>
                <w:rFonts w:eastAsia="Arial Unicode MS"/>
                <w:kern w:val="2"/>
                <w:sz w:val="20"/>
                <w:szCs w:val="20"/>
                <w:lang w:val="el-GR" w:bidi="el-GR"/>
              </w:rPr>
              <w:t xml:space="preserve"> της παρ. 4 του άρθρου 8 του Ν 1599/1986 στην οποία να δηλώνεται ότι τα απορρυπαντικά που ταξινομούνται ως επικίνδυνα βάσει των επιπτώσεών τους στην υγεία ή λόγω των φυσικοχημικών τους ιδιοτήτων, είναι καταχωρημένα σύμφωνα με το άρθρο 45 του Κανονισμού 1272/2008/ΕΚ, στο Εθνικό Μητρώο Χημικών Προϊόντων του Γ.Χ.Κ., ή ότι έχει κατατεθεί αίτηση καταχώρησης.</w:t>
            </w:r>
          </w:p>
        </w:tc>
        <w:tc>
          <w:tcPr>
            <w:tcW w:w="101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pPr>
            <w:r>
              <w:rPr>
                <w:rFonts w:eastAsia="Arial Unicode MS"/>
                <w:kern w:val="2"/>
                <w:sz w:val="20"/>
                <w:szCs w:val="20"/>
                <w:lang w:val="el-GR" w:bidi="el-GR"/>
              </w:rPr>
              <w:t xml:space="preserve">5.5  </w:t>
            </w:r>
            <w:r>
              <w:rPr>
                <w:rFonts w:eastAsia="Arial Unicode MS"/>
                <w:b/>
                <w:kern w:val="2"/>
                <w:sz w:val="20"/>
                <w:szCs w:val="20"/>
                <w:lang w:val="el-GR" w:bidi="el-GR"/>
              </w:rPr>
              <w:t>Υπεύθυνη δήλωση</w:t>
            </w:r>
            <w:r>
              <w:rPr>
                <w:rFonts w:eastAsia="Arial Unicode MS"/>
                <w:kern w:val="2"/>
                <w:sz w:val="20"/>
                <w:szCs w:val="20"/>
                <w:lang w:val="el-GR" w:bidi="el-GR"/>
              </w:rPr>
              <w:t xml:space="preserve"> της παρ. 4 του άρθρου 8 του Ν 1599/1986, ότι διαθέτει τεχνικό ασφαλείας, σύμφωνα με τη διάταξη του άρθρου 8 του Ν 3850/10.</w:t>
            </w:r>
          </w:p>
        </w:tc>
        <w:tc>
          <w:tcPr>
            <w:tcW w:w="101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trHeight w:val="429" w:hRule="atLeast"/>
          <w:cantSplit w:val="true"/>
        </w:trPr>
        <w:tc>
          <w:tcPr>
            <w:tcW w:w="10426" w:type="dxa"/>
            <w:gridSpan w:val="4"/>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keepNext w:val="true"/>
              <w:snapToGrid w:val="false"/>
              <w:spacing w:before="57" w:after="257"/>
              <w:rPr>
                <w:rFonts w:eastAsia="Arial Unicode MS"/>
                <w:b/>
                <w:b/>
                <w:kern w:val="2"/>
                <w:sz w:val="20"/>
                <w:szCs w:val="20"/>
                <w:lang w:val="el-GR" w:bidi="el-GR"/>
              </w:rPr>
            </w:pPr>
            <w:r>
              <w:rPr>
                <w:rFonts w:eastAsia="Arial Unicode MS"/>
                <w:b/>
                <w:kern w:val="2"/>
                <w:sz w:val="20"/>
                <w:szCs w:val="20"/>
                <w:lang w:val="el-GR" w:bidi="el-GR"/>
              </w:rPr>
              <w:t>6. ΕΙΔΙΚΟΙ ΟΡΟΙ ΕΚΤΕΛΕΣΗΣ ΤΗΣ ΣΥΜΒΑΣΗΣ</w:t>
            </w:r>
          </w:p>
        </w:tc>
      </w:tr>
      <w:tr>
        <w:trPr>
          <w:trHeight w:val="900" w:hRule="atLeast"/>
          <w:cantSplit w:val="true"/>
        </w:trPr>
        <w:tc>
          <w:tcPr>
            <w:tcW w:w="7144" w:type="dxa"/>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 xml:space="preserve">Όλα τα απαραίτητα μηχανικά μέσα, όλα τα αναγκαία προϊόντα και υλικά καθαρισμού και απολύμανσης, καθώς και ο απαραίτητος εξοπλισμός καθαρισμού και απολύμανσης (ενδεικτικά αναφέρονται σακούλες, ξεσκονόπανα εργαλεία, συσκευές κ.ά), βαρύνουν τον Ανάδοχο, εκτός των: α) χαρτί υγείας, β) σαπούνια, γ) χειροπετσέτες  </w:t>
            </w:r>
          </w:p>
        </w:tc>
        <w:tc>
          <w:tcPr>
            <w:tcW w:w="1019" w:type="dxa"/>
            <w:vMerge w:val="restart"/>
            <w:tcBorders>
              <w:top w:val="single" w:sz="4" w:space="0" w:color="000000"/>
              <w:left w:val="single" w:sz="4" w:space="0" w:color="000000"/>
              <w:bottom w:val="single" w:sz="4" w:space="0" w:color="000000"/>
              <w:right w:val="single" w:sz="4" w:space="0" w:color="000000"/>
            </w:tcBorders>
            <w:shd w:color="auto" w:fill="auto" w:val="clear"/>
            <w:tcMar>
              <w:top w:w="55" w:type="dxa"/>
              <w:left w:w="55" w:type="dxa"/>
              <w:bottom w:w="55" w:type="dxa"/>
              <w:right w:w="55" w:type="dxa"/>
            </w:tcMar>
            <w:vAlign w:val="center"/>
          </w:tcPr>
          <w:p>
            <w:pPr>
              <w:pStyle w:val="Normal"/>
              <w:snapToGrid w:val="false"/>
              <w:jc w:val="center"/>
              <w:rPr>
                <w:rFonts w:ascii="Tahoma" w:hAnsi="Tahoma" w:cs="Tahoma"/>
                <w:b/>
                <w:b/>
                <w:sz w:val="18"/>
                <w:szCs w:val="18"/>
              </w:rPr>
            </w:pPr>
            <w:r>
              <w:rPr>
                <w:rFonts w:cs="Tahoma" w:ascii="Tahoma" w:hAnsi="Tahoma"/>
                <w:b/>
                <w:sz w:val="18"/>
                <w:szCs w:val="18"/>
              </w:rPr>
            </w:r>
          </w:p>
          <w:p>
            <w:pPr>
              <w:pStyle w:val="Normal"/>
              <w:snapToGrid w:val="false"/>
              <w:spacing w:before="0" w:after="120"/>
              <w:jc w:val="center"/>
              <w:rPr>
                <w:rFonts w:ascii="Tahoma" w:hAnsi="Tahoma" w:cs="Tahoma"/>
                <w:b/>
                <w:b/>
                <w:sz w:val="18"/>
                <w:szCs w:val="18"/>
              </w:rPr>
            </w:pPr>
            <w:r>
              <w:rPr>
                <w:rFonts w:cs="Tahoma" w:ascii="Tahoma" w:hAnsi="Tahoma"/>
                <w:b/>
                <w:sz w:val="18"/>
                <w:szCs w:val="18"/>
              </w:rPr>
              <w:t>ΝΑΙ</w:t>
            </w:r>
          </w:p>
        </w:tc>
        <w:tc>
          <w:tcPr>
            <w:tcW w:w="1008" w:type="dxa"/>
            <w:vMerge w:val="restart"/>
            <w:tcBorders>
              <w:top w:val="single" w:sz="4" w:space="0" w:color="000000"/>
              <w:left w:val="single" w:sz="4" w:space="0" w:color="000000"/>
              <w:bottom w:val="single" w:sz="4" w:space="0" w:color="000000"/>
            </w:tcBorders>
            <w:shd w:color="auto" w:fill="auto" w:val="clear"/>
            <w:tcMar>
              <w:top w:w="55" w:type="dxa"/>
              <w:left w:w="55" w:type="dxa"/>
              <w:bottom w:w="55" w:type="dxa"/>
              <w:right w:w="55" w:type="dxa"/>
            </w:tcM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vMerge w:val="restart"/>
            <w:tcBorders>
              <w:top w:val="single" w:sz="4" w:space="0" w:color="000000"/>
              <w:left w:val="single" w:sz="4" w:space="0" w:color="000000"/>
              <w:bottom w:val="single" w:sz="4" w:space="0" w:color="000000"/>
              <w:right w:val="single" w:sz="4" w:space="0" w:color="000000"/>
            </w:tcBorders>
            <w:shd w:color="auto" w:fill="auto" w:val="clear"/>
            <w:tcMar>
              <w:top w:w="55" w:type="dxa"/>
              <w:left w:w="55" w:type="dxa"/>
              <w:bottom w:w="55" w:type="dxa"/>
              <w:right w:w="55" w:type="dxa"/>
            </w:tcM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trHeight w:val="576" w:hRule="atLeast"/>
          <w:cantSplit w:val="true"/>
        </w:trPr>
        <w:tc>
          <w:tcPr>
            <w:tcW w:w="7144" w:type="dxa"/>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Οι πάσης φύσεως αποδοχές, μισθοί, επιδόματα, Δώρα Χριστουγέννων &amp; Πάσχα, ασφαλιστικές εισφορές του απασχολούμενου προσωπικού και λοιπές εργοδοτικές εισφορές, βαρύνουν τον Ανάδοχο.</w:t>
            </w:r>
          </w:p>
        </w:tc>
        <w:tc>
          <w:tcPr>
            <w:tcW w:w="1019" w:type="dxa"/>
            <w:vMerge w:val="continue"/>
            <w:tcBorders>
              <w:top w:val="single" w:sz="4" w:space="0" w:color="000000"/>
              <w:left w:val="single" w:sz="4" w:space="0" w:color="000000"/>
              <w:right w:val="single" w:sz="4" w:space="0" w:color="000000"/>
            </w:tcBorders>
            <w:shd w:color="auto" w:fill="auto" w:val="clear"/>
            <w:tcMar>
              <w:top w:w="55" w:type="dxa"/>
              <w:left w:w="55" w:type="dxa"/>
              <w:bottom w:w="55" w:type="dxa"/>
              <w:right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tcMar>
              <w:top w:w="55" w:type="dxa"/>
              <w:left w:w="55" w:type="dxa"/>
              <w:bottom w:w="55" w:type="dxa"/>
              <w:right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tcMar>
              <w:top w:w="55" w:type="dxa"/>
              <w:left w:w="55" w:type="dxa"/>
              <w:bottom w:w="55" w:type="dxa"/>
              <w:right w:w="55" w:type="dxa"/>
            </w:tcMar>
            <w:vAlign w:val="center"/>
          </w:tcPr>
          <w:p>
            <w:pPr>
              <w:pStyle w:val="Normal"/>
              <w:widowControl/>
              <w:suppressAutoHyphens w:val="true"/>
              <w:bidi w:val="0"/>
              <w:spacing w:before="0" w:after="120"/>
              <w:jc w:val="both"/>
              <w:rPr/>
            </w:pPr>
            <w:r>
              <w:rPr/>
            </w:r>
          </w:p>
        </w:tc>
      </w:tr>
      <w:tr>
        <w:trPr>
          <w:trHeight w:val="788" w:hRule="atLeast"/>
          <w:cantSplit w:val="true"/>
        </w:trPr>
        <w:tc>
          <w:tcPr>
            <w:tcW w:w="7144" w:type="dxa"/>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Η Αναθέτουσα Αρχή απαλλάσσεται από κάθε ευθύνη και υποχρέωση για αποζημίωση από τυχόν ατύχημα ή κάθε άλλη αιτία, τόσο κατά τη μεταφορά του προσωπικού του Αναδόχου όσο και κατά τη διάρκεια της εκτέλεσης των υπηρεσιών καθαρισμού. Διευκρινίζεται ρητά ότι η Αναθέτουσα Αρχή δεν έχει καμία αστική ή ποινική ευθύνη για κάθε αξίωση εκ μέρους οιουδήποτε μισθωτού του Αναδόχου η δε υποχρέωσή της εξαντλείται πλήρως με την καταβολή της κατά μήνα αμοιβής του Αναδόχου.</w:t>
            </w:r>
          </w:p>
        </w:tc>
        <w:tc>
          <w:tcPr>
            <w:tcW w:w="1019" w:type="dxa"/>
            <w:vMerge w:val="continue"/>
            <w:tcBorders>
              <w:top w:val="single" w:sz="4" w:space="0" w:color="000000"/>
              <w:left w:val="single" w:sz="4" w:space="0" w:color="000000"/>
              <w:bottom w:val="single" w:sz="4" w:space="0" w:color="000000"/>
              <w:right w:val="single" w:sz="4" w:space="0" w:color="000000"/>
            </w:tcBorders>
            <w:shd w:color="auto" w:fill="auto" w:val="clear"/>
            <w:tcMar>
              <w:top w:w="55" w:type="dxa"/>
              <w:left w:w="55" w:type="dxa"/>
              <w:bottom w:w="55" w:type="dxa"/>
              <w:right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bottom w:val="single" w:sz="4" w:space="0" w:color="000000"/>
            </w:tcBorders>
            <w:shd w:color="auto" w:fill="auto" w:val="clear"/>
            <w:tcMar>
              <w:top w:w="55" w:type="dxa"/>
              <w:left w:w="55" w:type="dxa"/>
              <w:bottom w:w="55" w:type="dxa"/>
              <w:right w:w="55" w:type="dxa"/>
            </w:tcM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bottom w:val="single" w:sz="4" w:space="0" w:color="000000"/>
              <w:right w:val="single" w:sz="4" w:space="0" w:color="000000"/>
            </w:tcBorders>
            <w:shd w:color="auto" w:fill="auto" w:val="clear"/>
            <w:tcMar>
              <w:top w:w="55" w:type="dxa"/>
              <w:left w:w="55" w:type="dxa"/>
              <w:bottom w:w="55" w:type="dxa"/>
              <w:right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 xml:space="preserve">Σε περίπτωση κατάργησης ή συρρίκνωσης ή μετεγκατάστασης οργανικών μονάδων, λόγω συγχώνευσης ή λύσης της μίσθωσης ή ανάθεσης καθηκόντων σε μόνιμο ή έκτακτο υπαλληλικό προσωπικό καθαριότητας της Αναθέτουσας Αρχής κλάδου ΥΕ-προσωπικό καθαριότητας και σε κάθε εν γένει περίπτωση αλλαγής των χώρων ή µη χρήσης αυτών από την Αναθέτουσα Αρχή, η Αναθέτουσα Αρχή, έχει το δικαίωμα να χρησιμοποιήσει το προσωπικό του Αναδόχου σύμφωνα με τις ανάγκες που τυχόν θα προκύψουν στα νέα κτίρια ή στα ήδη υπάρχοντα, ή να διακόψει εν μέρει τις υπηρεσίες καθαριότητας, χωρίς οποιαδήποτε αξίωση αποζημίωσης από τον Ανάδοχο, ανεξαρτήτως του εναπομένοντος χρόνου αυτής. Στην περίπτωση διακοπής των υπηρεσιών, η Αναθέτουσα Αρχή θα καταβάλλει μηνιαία αμοιβή στον Ανάδοχο, μειωμένη κατά το ποσό που αντιστοιχεί στους χώρους στους οποίους θα διακοπεί ο καθαρισμός. </w:t>
            </w:r>
          </w:p>
          <w:p>
            <w:pPr>
              <w:pStyle w:val="Normal"/>
              <w:snapToGrid w:val="false"/>
              <w:spacing w:before="0" w:after="86"/>
              <w:rPr>
                <w:rFonts w:eastAsia="Arial Unicode MS"/>
                <w:kern w:val="2"/>
                <w:sz w:val="20"/>
                <w:szCs w:val="20"/>
                <w:lang w:val="el-GR" w:bidi="el-GR"/>
              </w:rPr>
            </w:pPr>
            <w:r>
              <w:rPr>
                <w:rFonts w:eastAsia="Arial Unicode MS"/>
                <w:kern w:val="2"/>
                <w:sz w:val="20"/>
                <w:szCs w:val="20"/>
                <w:lang w:val="el-GR" w:bidi="el-GR"/>
              </w:rPr>
              <w:t>Ωστόσο, το ποσό που θα εξοικονομηθεί δύναται να χρησιμοποιηθεί για τον καθαρισμό κτιρίων ή χώρων κτιρίων, που δεν είχαν αρχικά συμπεριληφθεί στους πίνακες ή σε κτίρια στα οποία στεγάζονται νεοσύστατες Υπηρεσίες. Στην περίπτωση αυτή, ο Ανάδοχος υποχρεούται να παρέχει στους νέους χώρους τις υπηρεσίες του, με τους ίδιους όρους της σύμβασης και η Αναθέτουσα Αρχή υποχρεούται στην πληρωμή του, σύμφωνα με την οικονομική προσφορά του.</w:t>
            </w:r>
          </w:p>
          <w:p>
            <w:pPr>
              <w:pStyle w:val="Normal"/>
              <w:snapToGrid w:val="false"/>
              <w:spacing w:before="0" w:after="0"/>
              <w:rPr>
                <w:rFonts w:eastAsia="Arial Unicode MS"/>
                <w:kern w:val="2"/>
                <w:sz w:val="20"/>
                <w:szCs w:val="20"/>
                <w:lang w:val="el-GR" w:bidi="el-GR"/>
              </w:rPr>
            </w:pPr>
            <w:r>
              <w:rPr>
                <w:rFonts w:eastAsia="Arial Unicode MS"/>
                <w:kern w:val="2"/>
                <w:sz w:val="20"/>
                <w:szCs w:val="20"/>
                <w:lang w:val="el-GR" w:bidi="el-GR"/>
              </w:rPr>
              <w:t>Σε περίπτωση που με την έναρξη παροχής των υπηρεσιών καθαριότητας, σε οποιοδήποτε Κτίριο, εξακολουθεί να είναι σε ισχύ σύμβαση με υπάλληλο κλάδου ΥΕ-προσωπικό καθαριότητας και για όσο χρονικό διάστημα διαρκεί αυτή, η Αναθέτουσα Αρχή δύναται, με βάση τις ανάγκες της, να μειώσει τις ώρες παροχής υπηρεσιών και να καταβάλλει το αντίστοιχο μειωμένο τίμημα στον Ανάδοχο.</w:t>
            </w:r>
          </w:p>
          <w:p>
            <w:pPr>
              <w:pStyle w:val="Normal"/>
              <w:snapToGrid w:val="false"/>
              <w:spacing w:before="0" w:after="0"/>
              <w:rPr>
                <w:rFonts w:eastAsia="Arial Unicode MS"/>
                <w:kern w:val="2"/>
                <w:sz w:val="20"/>
                <w:szCs w:val="20"/>
                <w:lang w:val="el-GR" w:bidi="el-GR"/>
              </w:rPr>
            </w:pPr>
            <w:r>
              <w:rPr>
                <w:rFonts w:eastAsia="Arial Unicode MS"/>
                <w:kern w:val="2"/>
                <w:sz w:val="20"/>
                <w:szCs w:val="20"/>
                <w:lang w:val="el-GR" w:bidi="el-GR"/>
              </w:rPr>
            </w:r>
          </w:p>
        </w:tc>
        <w:tc>
          <w:tcPr>
            <w:tcW w:w="1019" w:type="dxa"/>
            <w:vMerge w:val="restart"/>
            <w:tcBorders>
              <w:top w:val="single" w:sz="4" w:space="0" w:color="000000"/>
              <w:left w:val="single" w:sz="4" w:space="0" w:color="000000"/>
            </w:tcBorders>
            <w:shd w:color="auto" w:fill="auto" w:val="clear"/>
            <w:vAlign w:val="center"/>
          </w:tcPr>
          <w:p>
            <w:pPr>
              <w:pStyle w:val="Normal"/>
              <w:spacing w:before="0" w:after="120"/>
              <w:rPr>
                <w:b/>
                <w:b/>
                <w:bCs/>
                <w:lang w:val="el-GR"/>
              </w:rPr>
            </w:pPr>
            <w:r>
              <w:rPr>
                <w:b/>
                <w:bCs/>
                <w:lang w:val="el-GR"/>
              </w:rPr>
              <w:t>ΝΑΙ</w:t>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trHeight w:val="1694" w:hRule="atLeast"/>
          <w:cantSplit w:val="true"/>
        </w:trPr>
        <w:tc>
          <w:tcPr>
            <w:tcW w:w="7144" w:type="dxa"/>
            <w:tcBorders>
              <w:top w:val="single" w:sz="4" w:space="0" w:color="000000"/>
              <w:left w:val="single" w:sz="4" w:space="0" w:color="000000"/>
              <w:bottom w:val="single" w:sz="4" w:space="0" w:color="000000"/>
            </w:tcBorders>
            <w:shd w:color="auto" w:fill="FFFFFF" w:val="clear"/>
            <w:vAlign w:val="center"/>
          </w:tcPr>
          <w:p>
            <w:pPr>
              <w:pStyle w:val="Normal"/>
              <w:keepNext w:val="true"/>
              <w:snapToGrid w:val="false"/>
              <w:spacing w:before="114" w:after="143"/>
              <w:rPr>
                <w:rFonts w:eastAsia="Arial Unicode MS"/>
                <w:kern w:val="2"/>
                <w:sz w:val="20"/>
                <w:szCs w:val="20"/>
                <w:lang w:val="el-GR" w:bidi="el-GR"/>
              </w:rPr>
            </w:pPr>
            <w:r>
              <w:rPr>
                <w:rFonts w:eastAsia="Arial Unicode MS"/>
                <w:kern w:val="2"/>
                <w:sz w:val="20"/>
                <w:szCs w:val="20"/>
                <w:lang w:val="el-GR" w:bidi="el-GR"/>
              </w:rPr>
              <w:t xml:space="preserve">Οι Οικονομικοί Φορείς δύνανται να επισκεφθούν τους χώρους προς καθαριότητα (κατόπιν επικοινωνίας με την Αναθέτουσα Αρχή), ώστε να ελέγξουν τις εγκαταστάσεις και να βεβαιωθούν ότι πληρούν όλες τις προϋποθέσεις για την απρόσκοπτη και ασφαλή εργασία του προσωπικού τους, σε περίπτωση δε ατυχήματος, θα είναι οι μόνοι υπεύθυνοι, καθώς και για να διαπιστώσουν το συνολικό εμβαδόν αυτών και να υπολογίσουν τις ανάγκες σε υπαλληλικό προσωπικό. Τυχόν αποκλίσεις των πραγματικών εμβαδών από τις προσδιορισθείσες τιμές, δεν συνεπάγεται επαύξηση του αντικειμένου της εργολαβίας και συνεπώς ούτε της αμοιβής. </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trHeight w:val="1138"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00"/>
              <w:rPr>
                <w:rFonts w:eastAsia="Arial Unicode MS"/>
                <w:kern w:val="2"/>
                <w:sz w:val="20"/>
                <w:szCs w:val="20"/>
                <w:lang w:val="el-GR" w:bidi="el-GR"/>
              </w:rPr>
            </w:pPr>
            <w:r>
              <w:rPr>
                <w:rFonts w:eastAsia="Arial Unicode MS"/>
                <w:kern w:val="2"/>
                <w:sz w:val="20"/>
                <w:szCs w:val="20"/>
                <w:lang w:val="el-GR" w:bidi="el-GR"/>
              </w:rPr>
              <w:t xml:space="preserve">Αλλοδαποί μπορούν να απασχοληθούν μόνο εφόσον έχουν άδεια νόμιμης παραμονής και εργασίας στην Ελλάδα και ομιλούν (σύμφωνα με υπεύθυνη δήλωση της παρ. 4 του άρθρου 8 του ν.1599/1986 του υποψηφίου αναδόχου) καλά την ελληνική γλώσσα, έτσι ώστε να κατανοούν τις οδηγίες που τους δίνονται. </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trHeight w:val="1040"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00"/>
              <w:rPr/>
            </w:pPr>
            <w:r>
              <w:rPr>
                <w:rFonts w:eastAsia="Arial Unicode MS"/>
                <w:kern w:val="2"/>
                <w:sz w:val="20"/>
                <w:szCs w:val="20"/>
                <w:lang w:val="el-GR" w:bidi="el-GR"/>
              </w:rPr>
              <w:t>Το προσωπικό του συνεργείου θα χτυπάει κάρτα κατά την προσέλευση και αποχώρηση και σε περίπτωση που οι Υπηρεσίες της Αναθέτουσας Αρχής δεν διαθέτουν ρολόι παρουσίας προσωπικού, το προσωπικό θα υπογράφει στο βιβλίο παρουσίας προσωπικού. Η άσκηση αυστηρού ελέγχου τήρησης του ωραρίου του προσωπικού του συνεργείου είναι δικαίωμα των αρμόδιων οργάνων των Υπηρεσιών της Αναθέτουσας Αρχής.</w:t>
            </w:r>
          </w:p>
        </w:tc>
        <w:tc>
          <w:tcPr>
            <w:tcW w:w="1019"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trHeight w:val="602" w:hRule="atLeast"/>
          <w:cantSplit w:val="true"/>
        </w:trPr>
        <w:tc>
          <w:tcPr>
            <w:tcW w:w="10426" w:type="dxa"/>
            <w:gridSpan w:val="4"/>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snapToGrid w:val="false"/>
              <w:spacing w:before="57" w:after="257"/>
              <w:rPr>
                <w:rFonts w:ascii="Tahoma" w:hAnsi="Tahoma" w:cs="Tahoma"/>
                <w:b/>
                <w:b/>
                <w:bCs/>
                <w:sz w:val="18"/>
                <w:szCs w:val="18"/>
              </w:rPr>
            </w:pPr>
            <w:r>
              <w:rPr>
                <w:rFonts w:cs="Tahoma" w:ascii="Tahoma" w:hAnsi="Tahoma"/>
                <w:b/>
                <w:bCs/>
                <w:sz w:val="18"/>
                <w:szCs w:val="18"/>
              </w:rPr>
              <w:t>7. ΥΠΟΧΡΕΩΣΕΙΣ ΑΝΑΔΟΧΟΥ – ΥΠΟΨΗΦΙΩΝ ΑΝΑΔΟΧΩΝ</w:t>
            </w:r>
          </w:p>
        </w:tc>
      </w:tr>
      <w:tr>
        <w:trPr>
          <w:trHeight w:val="558"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Ο Ανάδοχος υποχρεούται να παρέχει τις υπηρεσίες του για το σύνολο των κτιρίων κάθε Τμήματος και μόνο για τους χώρους στους οποίους στεγάζονται Υπηρεσίες του e-ΕΦΚΑ, αρμοδιότητας της ΠΥΣΥ  Θεσσαλίας (συμπεριλαμβανομένων των κοινόχρηστων χώρων, κλιμακοστασίων κλπ.). Ο καθαρισμός θα καλύπτει τις εργάσιμες ημέρες και ώρες εργασίας (Δευτέρα έως Παρασκευή, εκτός επίσημων αργιών και εορτών) όπως αυτές έχουν προσδιορισθεί από την Αναθέτουσα Αρχή. Το ωράριο παροχής υπηρεσιών καθαριότητας του Αναδόχου, το οποίο θα καλύπτει τις καθορισμένες ημέρες και ώρες εργασίας, θα προσδιορίζεται κατόπιν συνεννόησης με τις Υπηρεσίες της Αναθέτουσας Αρχής, σύμφωνα με τις ανάγκες του εκάστοτε κτηρίου/οργανικής μονάδας, όπου παρέχονται οι υπηρεσίες καθαριότητας.</w:t>
            </w:r>
          </w:p>
        </w:tc>
        <w:tc>
          <w:tcPr>
            <w:tcW w:w="1019" w:type="dxa"/>
            <w:vMerge w:val="restart"/>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t>ΝΑΙ</w:t>
            </w:r>
          </w:p>
        </w:tc>
        <w:tc>
          <w:tcPr>
            <w:tcW w:w="1008" w:type="dxa"/>
            <w:vMerge w:val="restart"/>
            <w:tcBorders>
              <w:top w:val="single" w:sz="4" w:space="0" w:color="000000"/>
              <w:left w:val="single" w:sz="4" w:space="0" w:color="000000"/>
              <w:bottom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c>
          <w:tcPr>
            <w:tcW w:w="1255" w:type="dxa"/>
            <w:vMerge w:val="restart"/>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snapToGrid w:val="false"/>
              <w:spacing w:before="0" w:after="200"/>
              <w:jc w:val="center"/>
              <w:rPr>
                <w:rFonts w:ascii="Tahoma" w:hAnsi="Tahoma" w:cs="Tahoma"/>
                <w:b/>
                <w:b/>
                <w:sz w:val="18"/>
                <w:szCs w:val="18"/>
              </w:rPr>
            </w:pPr>
            <w:r>
              <w:rPr>
                <w:rFonts w:cs="Tahoma" w:ascii="Tahoma" w:hAnsi="Tahoma"/>
                <w:b/>
                <w:sz w:val="18"/>
                <w:szCs w:val="18"/>
              </w:rPr>
            </w:r>
          </w:p>
        </w:tc>
      </w:tr>
      <w:tr>
        <w:trPr>
          <w:trHeight w:val="558"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Σε περίπτωση βλάβης των μηχανημάτων, ο Ανάδοχος είναι υποχρεωμένος να τα αντικαταστήσει αμέσως, ώστε η εκτέλεση του αναληφθέντος έργου να είναι απρόσκοπτη.</w:t>
            </w:r>
          </w:p>
        </w:tc>
        <w:tc>
          <w:tcPr>
            <w:tcW w:w="1019"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trHeight w:val="977"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Ο Ανάδοχος υποχρεούται να εκπληρώνει όλες τις υποχρεώσεις του απέναντι στο Δημόσιο. Η τήρηση των υποχρεώσεων του Αναδόχου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tc>
        <w:tc>
          <w:tcPr>
            <w:tcW w:w="1019"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trHeight w:val="850"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Ο Ανάδοχος υποχρεούται να χρησιμοποιεί προσωπικό ειδικευμένο, υγιές, άριστο στο είδος του, άψογης συμπεριφοράς απέναντι σε τρίτους &amp; στο προσωπικό των Υπηρεσιών της Αναθέτουσας Αρχής και το οποίο να τηρεί πιστά τις εντολές των αρμοδίων οργάνων &amp; τον κανονισμό λειτουργίας της Αναθέτουσας Αρχής.</w:t>
            </w:r>
          </w:p>
        </w:tc>
        <w:tc>
          <w:tcPr>
            <w:tcW w:w="1019"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trHeight w:val="837"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Για την εκτέλεση του καθαρισμού, ο Ανάδοχος θα χρησιμοποιεί το μόνιμο ή έκτακτο προσωπικό που διαθέτει σε αριθμό και σε συχνότητα, που θα εξασφαλίζουν άψογα αποτελέσματα και αμεσότητα κάλυψης έκτακτων αναγκών.</w:t>
            </w:r>
          </w:p>
        </w:tc>
        <w:tc>
          <w:tcPr>
            <w:tcW w:w="1019"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 xml:space="preserve">Ο Ανάδοχος αναλαμβάνει την υποχρέωση να μεριμνήσει ώστε να αποφύγει περίπτωση κενών στο προσωπικό του, τα οποία θα πρέπει να αναπληρώνει αμελλητί. </w:t>
            </w:r>
          </w:p>
        </w:tc>
        <w:tc>
          <w:tcPr>
            <w:tcW w:w="1019"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trHeight w:val="817"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 xml:space="preserve">Ο Ανάδοχος υποχρεούται να καταθέτει κάθε μήνα και συγκεκριμένα το χρονικό διάστημα μεταξύ 25ης - 30ης ημέρας στην Υπηρεσία της Αναθέτουσας Αρχής που τηρείται η σύμβαση, κατάσταση προσωπικού που θα εργασθεί τον επόμενο μήνα. </w:t>
            </w:r>
          </w:p>
        </w:tc>
        <w:tc>
          <w:tcPr>
            <w:tcW w:w="1019"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 xml:space="preserve">Ο Ανάδοχος υποχρεούται να γνωστοποιεί εγγράφως &amp; εγκαίρως σε κάθε μέλος του απασχολούμενου προσωπικού του ότι: α) ουδεμία εξάρτηση &amp; εργασιακή ή άλλη νόμιμη σχέση έχει με την Αναθέτουσα Αρχή, β) έναντι αυτού του προσωπικού θα υπέχει αυτός, όλες τις εκ του νόμου και της σύμβασης ποινικές ευθύνες και υποχρεώσεις. </w:t>
            </w:r>
          </w:p>
        </w:tc>
        <w:tc>
          <w:tcPr>
            <w:tcW w:w="1019" w:type="dxa"/>
            <w:vMerge w:val="restart"/>
            <w:tcBorders>
              <w:left w:val="single" w:sz="4" w:space="0" w:color="000000"/>
              <w:bottom w:val="single" w:sz="4" w:space="0" w:color="000000"/>
            </w:tcBorders>
            <w:shd w:color="auto" w:fill="auto" w:val="clear"/>
            <w:tcMar>
              <w:top w:w="55" w:type="dxa"/>
              <w:bottom w:w="55" w:type="dxa"/>
            </w:tcMar>
            <w:vAlign w:val="center"/>
          </w:tcPr>
          <w:p>
            <w:pPr>
              <w:pStyle w:val="Normal"/>
              <w:rPr>
                <w:lang w:val="el-GR"/>
              </w:rPr>
            </w:pPr>
            <w:r>
              <w:rPr>
                <w:lang w:val="el-GR"/>
              </w:rPr>
            </w:r>
          </w:p>
          <w:p>
            <w:pPr>
              <w:pStyle w:val="Normal"/>
              <w:rPr>
                <w:b/>
                <w:b/>
                <w:bCs/>
                <w:lang w:val="el-GR"/>
              </w:rPr>
            </w:pPr>
            <w:r>
              <w:rPr>
                <w:b/>
                <w:bCs/>
                <w:lang w:val="el-GR"/>
              </w:rPr>
            </w:r>
          </w:p>
          <w:p>
            <w:pPr>
              <w:pStyle w:val="Normal"/>
              <w:rPr>
                <w:b/>
                <w:b/>
                <w:bCs/>
                <w:lang w:val="el-GR"/>
              </w:rPr>
            </w:pPr>
            <w:r>
              <w:rPr>
                <w:b/>
                <w:bCs/>
                <w:lang w:val="el-GR"/>
              </w:rPr>
            </w:r>
          </w:p>
          <w:p>
            <w:pPr>
              <w:pStyle w:val="Normal"/>
              <w:rPr>
                <w:b/>
                <w:b/>
                <w:bCs/>
                <w:lang w:val="el-GR"/>
              </w:rPr>
            </w:pPr>
            <w:r>
              <w:rPr>
                <w:b/>
                <w:bCs/>
                <w:lang w:val="el-GR"/>
              </w:rPr>
            </w:r>
          </w:p>
          <w:p>
            <w:pPr>
              <w:pStyle w:val="Normal"/>
              <w:rPr>
                <w:b/>
                <w:b/>
                <w:bCs/>
                <w:lang w:val="el-GR"/>
              </w:rPr>
            </w:pPr>
            <w:r>
              <w:rPr>
                <w:b/>
                <w:bCs/>
                <w:lang w:val="el-GR"/>
              </w:rPr>
            </w:r>
          </w:p>
          <w:p>
            <w:pPr>
              <w:pStyle w:val="Normal"/>
              <w:rPr/>
            </w:pPr>
            <w:r>
              <w:rPr>
                <w:b/>
                <w:bCs/>
                <w:lang w:val="el-GR"/>
              </w:rPr>
              <w:t>ΝΑΙ</w:t>
            </w:r>
          </w:p>
          <w:p>
            <w:pPr>
              <w:pStyle w:val="Normal"/>
              <w:rPr>
                <w:b/>
                <w:b/>
                <w:bCs/>
                <w:lang w:val="el-GR"/>
              </w:rPr>
            </w:pPr>
            <w:r>
              <w:rPr>
                <w:b/>
                <w:bCs/>
                <w:lang w:val="el-GR"/>
              </w:rPr>
            </w:r>
          </w:p>
          <w:p>
            <w:pPr>
              <w:pStyle w:val="Normal"/>
              <w:rPr>
                <w:b/>
                <w:b/>
                <w:bCs/>
                <w:lang w:val="el-GR"/>
              </w:rPr>
            </w:pPr>
            <w:r>
              <w:rPr>
                <w:b/>
                <w:bCs/>
                <w:lang w:val="el-GR"/>
              </w:rPr>
            </w:r>
          </w:p>
          <w:p>
            <w:pPr>
              <w:pStyle w:val="Normal"/>
              <w:rPr>
                <w:b/>
                <w:b/>
                <w:bCs/>
                <w:lang w:val="el-GR"/>
              </w:rPr>
            </w:pPr>
            <w:r>
              <w:rPr>
                <w:b/>
                <w:bCs/>
                <w:lang w:val="el-GR"/>
              </w:rPr>
            </w:r>
          </w:p>
          <w:p>
            <w:pPr>
              <w:pStyle w:val="Normal"/>
              <w:rPr>
                <w:b/>
                <w:b/>
                <w:bCs/>
                <w:lang w:val="el-GR"/>
              </w:rPr>
            </w:pPr>
            <w:r>
              <w:rPr>
                <w:b/>
                <w:bCs/>
                <w:lang w:val="el-GR"/>
              </w:rPr>
            </w:r>
          </w:p>
          <w:p>
            <w:pPr>
              <w:pStyle w:val="Normal"/>
              <w:rPr>
                <w:b/>
                <w:b/>
                <w:bCs/>
                <w:lang w:val="el-GR"/>
              </w:rPr>
            </w:pPr>
            <w:r>
              <w:rPr>
                <w:b/>
                <w:bCs/>
                <w:lang w:val="el-GR"/>
              </w:rPr>
            </w:r>
          </w:p>
          <w:p>
            <w:pPr>
              <w:pStyle w:val="Normal"/>
              <w:rPr>
                <w:b/>
                <w:b/>
                <w:bCs/>
                <w:lang w:val="el-GR"/>
              </w:rPr>
            </w:pPr>
            <w:r>
              <w:rPr>
                <w:b/>
                <w:bCs/>
                <w:lang w:val="el-GR"/>
              </w:rPr>
            </w:r>
          </w:p>
          <w:p>
            <w:pPr>
              <w:pStyle w:val="Normal"/>
              <w:rPr>
                <w:b/>
                <w:b/>
                <w:bCs/>
                <w:lang w:val="el-GR"/>
              </w:rPr>
            </w:pPr>
            <w:r>
              <w:rPr>
                <w:b/>
                <w:bCs/>
                <w:lang w:val="el-GR"/>
              </w:rPr>
            </w:r>
          </w:p>
          <w:p>
            <w:pPr>
              <w:pStyle w:val="Normal"/>
              <w:rPr/>
            </w:pPr>
            <w:r>
              <w:rPr>
                <w:b/>
                <w:bCs/>
                <w:lang w:val="el-GR"/>
              </w:rPr>
              <w:t>ΝΑΙ</w:t>
            </w:r>
          </w:p>
          <w:p>
            <w:pPr>
              <w:pStyle w:val="Normal"/>
              <w:spacing w:before="0" w:after="120"/>
              <w:rPr>
                <w:lang w:val="el-GR"/>
              </w:rPr>
            </w:pPr>
            <w:r>
              <w:rPr>
                <w:lang w:val="el-GR"/>
              </w:rPr>
            </w:r>
          </w:p>
          <w:p>
            <w:pPr>
              <w:pStyle w:val="Normal"/>
              <w:spacing w:before="0" w:after="120"/>
              <w:rPr>
                <w:lang w:val="el-GR"/>
              </w:rPr>
            </w:pPr>
            <w:r>
              <w:rPr>
                <w:lang w:val="el-GR"/>
              </w:rPr>
            </w:r>
          </w:p>
          <w:p>
            <w:pPr>
              <w:pStyle w:val="Normal"/>
              <w:spacing w:before="0" w:after="120"/>
              <w:rPr>
                <w:lang w:val="el-GR"/>
              </w:rPr>
            </w:pPr>
            <w:r>
              <w:rPr>
                <w:lang w:val="el-GR"/>
              </w:rPr>
            </w:r>
          </w:p>
          <w:p>
            <w:pPr>
              <w:pStyle w:val="Normal"/>
              <w:spacing w:before="0" w:after="120"/>
              <w:rPr>
                <w:lang w:val="el-GR"/>
              </w:rPr>
            </w:pPr>
            <w:r>
              <w:rPr>
                <w:lang w:val="el-GR"/>
              </w:rPr>
            </w:r>
          </w:p>
        </w:tc>
        <w:tc>
          <w:tcPr>
            <w:tcW w:w="1008"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Ο Ανάδοχος υποχρεούται να αντικαθιστά αμέσως και χωρίς αντιρρήσεις κάθε μέλος του προσωπικού του, το οποίο θα κριθεί από την Υπηρεσία «ως ακατάλληλο» (για ανάρμοστη συμπεριφορά ή για οποιονδήποτε άλλο λόγο) μόλις ειδοποιηθεί σχετικά, έστω και προφορικά από την Αναθέτουσα Αρχή</w:t>
            </w:r>
          </w:p>
        </w:tc>
        <w:tc>
          <w:tcPr>
            <w:tcW w:w="1019"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spacing w:before="0" w:after="120"/>
              <w:rPr/>
            </w:pPr>
            <w:r>
              <w:rPr/>
            </w:r>
          </w:p>
        </w:tc>
        <w:tc>
          <w:tcPr>
            <w:tcW w:w="1008"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trHeight w:val="1309"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pPr>
            <w:r>
              <w:rPr>
                <w:rFonts w:eastAsia="Arial Unicode MS"/>
                <w:kern w:val="2"/>
                <w:sz w:val="20"/>
                <w:szCs w:val="20"/>
                <w:lang w:val="el-GR" w:bidi="el-GR"/>
              </w:rPr>
              <w:t>Ο Ανάδοχος υποχρεούται να μην απασχολεί το προσωπικό του πέραν του νόμιμου ωραρίου παρά μόνον σε εξαιρετικές περιπτώσεις, οπότε βέβαια οφείλει να καταβάλλει (στο υπερωριακά απασχολούμενο προσωπικό) ακέραιες τις κατά νόμου αποζημιώσεις</w:t>
            </w:r>
          </w:p>
        </w:tc>
        <w:tc>
          <w:tcPr>
            <w:tcW w:w="1019"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spacing w:before="0" w:after="120"/>
              <w:rPr>
                <w:b/>
                <w:b/>
                <w:bCs/>
                <w:lang w:val="el-GR"/>
              </w:rPr>
            </w:pPr>
            <w:r>
              <w:rPr>
                <w:b/>
                <w:bCs/>
                <w:lang w:val="el-GR"/>
              </w:rPr>
            </w:r>
          </w:p>
        </w:tc>
        <w:tc>
          <w:tcPr>
            <w:tcW w:w="1008"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trHeight w:val="583"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Ο Ανάδοχος υποχρεούται να χρησιμοποιεί αποκλειστικά προσωπικό, το οποίο να είναι ασφαλισμένο έναντι ατυχήματος.</w:t>
            </w:r>
          </w:p>
        </w:tc>
        <w:tc>
          <w:tcPr>
            <w:tcW w:w="1019"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spacing w:before="0" w:after="120"/>
              <w:rPr>
                <w:lang w:val="el-GR"/>
              </w:rPr>
            </w:pPr>
            <w:r>
              <w:rPr>
                <w:lang w:val="el-GR"/>
              </w:rPr>
            </w:r>
          </w:p>
        </w:tc>
        <w:tc>
          <w:tcPr>
            <w:tcW w:w="1008"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ενδεχόμενο ατύχημα που συμβεί στο προσωπικό του, κατά τη διάρκεια εκτέλεσης της σύμβασης.</w:t>
            </w:r>
          </w:p>
        </w:tc>
        <w:tc>
          <w:tcPr>
            <w:tcW w:w="1019"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spacing w:before="0" w:after="120"/>
              <w:jc w:val="center"/>
              <w:rPr>
                <w:b/>
                <w:b/>
                <w:bCs/>
                <w:lang w:val="el-GR"/>
              </w:rPr>
            </w:pPr>
            <w:r>
              <w:rPr>
                <w:b/>
                <w:bCs/>
                <w:lang w:val="el-GR"/>
              </w:rPr>
            </w:r>
          </w:p>
        </w:tc>
        <w:tc>
          <w:tcPr>
            <w:tcW w:w="1008"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Ο Ανάδοχος υποχρεούται και εγγυάται ότι η εργασία θα εκτελείται με προσοχή, επιμέλεια και σύμφωνα με όλους τους κανόνες της ορθής καθαριότητας, όπως αυτοί ορίζονται από τις τεχνικές προδιαγραφές καθαριότητας. Είναι υπεύθυνος έναντι των Κρατικών Αρχών για την εξασφάλιση της καθαριότητας στους χώρους που περιλαμβάνονται στην παρούσα για όλο το χρόνο και για όλο το χρόνο εργασίας του, και για όλες τις ημέρες της εβδομάδας, φέρει δε κάθε αστική και ποινική ευθύνη σε περίπτωση ατυχήματος λόγω πλημμελούς καθαριότητας των χώρων.</w:t>
            </w:r>
          </w:p>
        </w:tc>
        <w:tc>
          <w:tcPr>
            <w:tcW w:w="1019" w:type="dxa"/>
            <w:vMerge w:val="continue"/>
            <w:tcBorders>
              <w:left w:val="single" w:sz="4" w:space="0" w:color="000000"/>
              <w:bottom w:val="single" w:sz="4" w:space="0" w:color="000000"/>
            </w:tcBorders>
            <w:shd w:color="auto" w:fill="auto" w:val="clear"/>
            <w:tcMar>
              <w:top w:w="55" w:type="dxa"/>
              <w:bottom w:w="55" w:type="dxa"/>
            </w:tcMar>
            <w:vAlign w:val="center"/>
          </w:tcPr>
          <w:p>
            <w:pPr>
              <w:pStyle w:val="Normal"/>
              <w:spacing w:before="0" w:after="120"/>
              <w:jc w:val="center"/>
              <w:rPr/>
            </w:pPr>
            <w:r>
              <w:rPr/>
            </w:r>
          </w:p>
        </w:tc>
        <w:tc>
          <w:tcPr>
            <w:tcW w:w="1008" w:type="dxa"/>
            <w:vMerge w:val="continue"/>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255" w:type="dxa"/>
            <w:vMerge w:val="continue"/>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0"/>
              <w:rPr>
                <w:rFonts w:eastAsia="Arial Unicode MS"/>
                <w:kern w:val="2"/>
                <w:sz w:val="20"/>
                <w:szCs w:val="20"/>
                <w:lang w:val="el-GR" w:bidi="el-GR"/>
              </w:rPr>
            </w:pPr>
            <w:r>
              <w:rPr>
                <w:rFonts w:eastAsia="Arial Unicode MS"/>
                <w:kern w:val="2"/>
                <w:sz w:val="20"/>
                <w:szCs w:val="20"/>
                <w:lang w:val="el-GR" w:bidi="el-GR"/>
              </w:rPr>
              <w:t>Ο Ανάδοχος υποχρεούται να τηρεί όλους τους κανόνες πυρασφάλειας και ασφάλειας στους χώρους εκτέλεσης της σύμβασης, καθώς και στο χώρο που θα του υποδειχθεί από την Αναθέτουσα Αρχή για την φύλαξη των πραγμάτων και υλικών του.</w:t>
            </w:r>
          </w:p>
        </w:tc>
        <w:tc>
          <w:tcPr>
            <w:tcW w:w="1019" w:type="dxa"/>
            <w:vMerge w:val="restart"/>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spacing w:before="0" w:after="120"/>
              <w:jc w:val="center"/>
              <w:rPr>
                <w:b/>
                <w:b/>
                <w:bCs/>
                <w:lang w:val="el-GR"/>
              </w:rPr>
            </w:pPr>
            <w:r>
              <w:rPr>
                <w:b/>
                <w:bCs/>
                <w:lang w:val="el-GR"/>
              </w:rPr>
              <w:t>ΝΑΙ</w:t>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 xml:space="preserve">Ο Ανάδοχος υποχρεούται να αντικαθιστά αμέσως κάθε έλλειψη, παράλειψη ή πλημμελή εκτέλεση των συμβατικών υποχρεώσεων που θα παρατηρείται και γνωστοποιείται σ’ αυτόν από τα αρμόδια όργανα παρακολούθησης της ορθής εκτέλεσης των υποχρεώσεων του Αναδόχου. </w:t>
            </w:r>
          </w:p>
        </w:tc>
        <w:tc>
          <w:tcPr>
            <w:tcW w:w="1019" w:type="dxa"/>
            <w:vMerge w:val="continue"/>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vAlign w:val="center"/>
          </w:tcPr>
          <w:p>
            <w:pPr>
              <w:pStyle w:val="Normal"/>
              <w:widowControl/>
              <w:suppressAutoHyphens w:val="true"/>
              <w:bidi w:val="0"/>
              <w:spacing w:before="0" w:after="120"/>
              <w:jc w:val="both"/>
              <w:rPr/>
            </w:pPr>
            <w:r>
              <w:rPr/>
            </w:r>
          </w:p>
        </w:tc>
        <w:tc>
          <w:tcPr>
            <w:tcW w:w="1008"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before="0" w:after="29"/>
              <w:rPr>
                <w:rFonts w:eastAsia="Arial Unicode MS"/>
                <w:kern w:val="2"/>
                <w:sz w:val="20"/>
                <w:szCs w:val="20"/>
                <w:lang w:val="el-GR" w:bidi="el-GR"/>
              </w:rPr>
            </w:pPr>
            <w:r>
              <w:rPr>
                <w:rFonts w:eastAsia="Arial Unicode MS"/>
                <w:kern w:val="2"/>
                <w:sz w:val="20"/>
                <w:szCs w:val="20"/>
                <w:lang w:val="el-GR" w:bidi="el-GR"/>
              </w:rPr>
              <w:t>Ο Ανάδοχος υποχρεούται να διαθέτει επόπτη υπάλληλο για την επίβλεψη της εκτέλεσης της σύμβασης και επικοινωνία με τα όργανα που έχουν ορισθεί ειδικά για να επιβλέπουν την εκτέλεση της σύμβασης και είναι υπεύθυνα για την παρακολούθηση της ορθής εκτέλεσης των υποχρεώσεων του Αναδόχου. Το κόστος του επόπτη βαρύνει τον Ανάδοχο.</w:t>
            </w:r>
          </w:p>
        </w:tc>
        <w:tc>
          <w:tcPr>
            <w:tcW w:w="1019" w:type="dxa"/>
            <w:vMerge w:val="restart"/>
            <w:tcBorders>
              <w:left w:val="single" w:sz="4" w:space="0" w:color="000000"/>
              <w:bottom w:val="single" w:sz="4" w:space="0" w:color="000000"/>
            </w:tcBorders>
            <w:shd w:color="auto" w:fill="auto" w:val="clear"/>
            <w:vAlign w:val="center"/>
          </w:tcPr>
          <w:p>
            <w:pPr>
              <w:pStyle w:val="Normal"/>
              <w:snapToGrid w:val="false"/>
              <w:spacing w:before="0" w:after="200"/>
              <w:ind w:left="34" w:right="0" w:hanging="34"/>
              <w:jc w:val="center"/>
              <w:rPr>
                <w:rFonts w:ascii="Tahoma" w:hAnsi="Tahoma" w:cs="Tahoma"/>
                <w:b/>
                <w:b/>
                <w:bCs/>
                <w:sz w:val="18"/>
                <w:szCs w:val="18"/>
                <w:lang w:val="el-GR"/>
              </w:rPr>
            </w:pPr>
            <w:r>
              <w:rPr>
                <w:rFonts w:cs="Tahoma" w:ascii="Tahoma" w:hAnsi="Tahoma"/>
                <w:b/>
                <w:bCs/>
                <w:sz w:val="18"/>
                <w:szCs w:val="18"/>
                <w:lang w:val="el-GR"/>
              </w:rPr>
              <w:t>ΝΑΙ</w:t>
            </w:r>
          </w:p>
        </w:tc>
        <w:tc>
          <w:tcPr>
            <w:tcW w:w="1008" w:type="dxa"/>
            <w:vMerge w:val="restart"/>
            <w:tcBorders>
              <w:left w:val="single" w:sz="4" w:space="0" w:color="000000"/>
              <w:bottom w:val="single" w:sz="4" w:space="0" w:color="000000"/>
            </w:tcBorders>
            <w:shd w:color="auto" w:fill="auto" w:val="clear"/>
          </w:tcPr>
          <w:p>
            <w:pPr>
              <w:pStyle w:val="Normal"/>
              <w:snapToGrid w:val="false"/>
              <w:spacing w:before="0" w:after="200"/>
              <w:ind w:left="34" w:right="0" w:hanging="34"/>
              <w:rPr>
                <w:rFonts w:ascii="Tahoma" w:hAnsi="Tahoma" w:cs="Tahoma"/>
                <w:b/>
                <w:b/>
                <w:sz w:val="18"/>
                <w:szCs w:val="18"/>
              </w:rPr>
            </w:pPr>
            <w:r>
              <w:rPr>
                <w:rFonts w:cs="Tahoma" w:ascii="Tahoma" w:hAnsi="Tahoma"/>
                <w:b/>
                <w:sz w:val="18"/>
                <w:szCs w:val="18"/>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r>
        <w:trPr>
          <w:trHeight w:val="1309" w:hRule="atLeast"/>
          <w:cantSplit w:val="true"/>
        </w:trPr>
        <w:tc>
          <w:tcPr>
            <w:tcW w:w="7144"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before="0" w:after="29"/>
              <w:rPr>
                <w:rFonts w:eastAsia="Arial Unicode MS"/>
                <w:kern w:val="2"/>
                <w:sz w:val="20"/>
                <w:szCs w:val="20"/>
                <w:lang w:val="el-GR" w:bidi="el-GR"/>
              </w:rPr>
            </w:pPr>
            <w:r>
              <w:rPr>
                <w:rFonts w:eastAsia="Arial Unicode MS"/>
                <w:kern w:val="2"/>
                <w:sz w:val="20"/>
                <w:szCs w:val="20"/>
                <w:lang w:val="el-GR" w:bidi="el-GR"/>
              </w:rPr>
              <w:t>Οι οικονομικοί φορείς δεσμεύονται, εφόσον καταστούν ανάδοχοι να εφαρμόζουν κατά την εκτέλεση της σύμβασης τις διατάξεις της νομοθεσίας περί υγείας και ασφάλειας των εργαζομένων και πρόληψης του επαγγελματικού κινδύνου.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tc>
        <w:tc>
          <w:tcPr>
            <w:tcW w:w="1019" w:type="dxa"/>
            <w:vMerge w:val="continue"/>
            <w:tcBorders>
              <w:left w:val="single" w:sz="4" w:space="0" w:color="000000"/>
              <w:bottom w:val="single" w:sz="4" w:space="0" w:color="000000"/>
            </w:tcBorders>
            <w:shd w:color="auto" w:fill="auto" w:val="clear"/>
          </w:tcPr>
          <w:p>
            <w:pPr>
              <w:pStyle w:val="Normal"/>
              <w:widowControl/>
              <w:suppressAutoHyphens w:val="true"/>
              <w:bidi w:val="0"/>
              <w:spacing w:before="0" w:after="120"/>
              <w:jc w:val="both"/>
              <w:rPr/>
            </w:pPr>
            <w:r>
              <w:rPr/>
            </w:r>
          </w:p>
        </w:tc>
        <w:tc>
          <w:tcPr>
            <w:tcW w:w="1008" w:type="dxa"/>
            <w:vMerge w:val="continue"/>
            <w:tcBorders>
              <w:left w:val="single" w:sz="4" w:space="0" w:color="000000"/>
              <w:bottom w:val="single" w:sz="4" w:space="0" w:color="000000"/>
            </w:tcBorders>
            <w:shd w:color="auto" w:fill="auto" w:val="clear"/>
          </w:tcPr>
          <w:p>
            <w:pPr>
              <w:pStyle w:val="Normal"/>
              <w:widowControl/>
              <w:suppressAutoHyphens w:val="true"/>
              <w:bidi w:val="0"/>
              <w:spacing w:before="0" w:after="120"/>
              <w:jc w:val="both"/>
              <w:rPr/>
            </w:pPr>
            <w:r>
              <w:rPr/>
            </w:r>
          </w:p>
        </w:tc>
        <w:tc>
          <w:tcPr>
            <w:tcW w:w="125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suppressAutoHyphens w:val="true"/>
              <w:bidi w:val="0"/>
              <w:spacing w:before="0" w:after="120"/>
              <w:jc w:val="both"/>
              <w:rPr/>
            </w:pPr>
            <w:r>
              <w:rPr/>
            </w:r>
          </w:p>
        </w:tc>
      </w:tr>
    </w:tbl>
    <w:p>
      <w:pPr>
        <w:pStyle w:val="Normal"/>
        <w:snapToGrid w:val="false"/>
        <w:spacing w:lineRule="auto" w:line="360"/>
        <w:rPr>
          <w:rFonts w:ascii="Tahoma" w:hAnsi="Tahoma" w:cs="Tahoma"/>
          <w:sz w:val="18"/>
          <w:szCs w:val="18"/>
          <w:lang w:val="el-GR"/>
        </w:rPr>
      </w:pPr>
      <w:r>
        <w:rPr>
          <w:rFonts w:cs="Tahoma" w:ascii="Tahoma" w:hAnsi="Tahoma"/>
          <w:sz w:val="18"/>
          <w:szCs w:val="18"/>
          <w:lang w:val="el-GR"/>
        </w:rPr>
      </w:r>
    </w:p>
    <w:p>
      <w:pPr>
        <w:pStyle w:val="Normal"/>
        <w:snapToGrid w:val="false"/>
        <w:spacing w:lineRule="auto" w:line="276" w:before="0" w:after="6"/>
        <w:rPr/>
      </w:pPr>
      <w:r>
        <w:rPr>
          <w:rFonts w:eastAsia="Arial Unicode MS"/>
          <w:kern w:val="2"/>
          <w:sz w:val="20"/>
          <w:szCs w:val="20"/>
          <w:lang w:val="el-GR" w:bidi="el-GR"/>
        </w:rPr>
        <w:t>Στη Στήλη «</w:t>
      </w:r>
      <w:r>
        <w:rPr>
          <w:rFonts w:eastAsia="Arial Unicode MS"/>
          <w:b/>
          <w:bCs/>
          <w:kern w:val="2"/>
          <w:sz w:val="20"/>
          <w:szCs w:val="20"/>
          <w:lang w:val="el-GR" w:bidi="el-GR"/>
        </w:rPr>
        <w:t>ΧΑΡΑΚΤΗΡΙΣΤΙΚΑ»</w:t>
      </w:r>
      <w:r>
        <w:rPr>
          <w:rFonts w:eastAsia="Arial Unicode MS"/>
          <w:kern w:val="2"/>
          <w:sz w:val="20"/>
          <w:szCs w:val="20"/>
          <w:lang w:val="el-GR" w:bidi="el-GR"/>
        </w:rPr>
        <w:t xml:space="preserve"> περιγράφονται αναλυτικά οι αντίστοιχοι τεχνικοί όροι, υποχρεώσεις ή επεξηγήσεις για τα οποία θα πρέπει να δοθούν αντίστοιχες απαντήσεις.</w:t>
      </w:r>
    </w:p>
    <w:p>
      <w:pPr>
        <w:pStyle w:val="Normal"/>
        <w:snapToGrid w:val="false"/>
        <w:spacing w:lineRule="auto" w:line="276" w:before="0" w:after="6"/>
        <w:rPr/>
      </w:pPr>
      <w:r>
        <w:rPr>
          <w:rFonts w:eastAsia="Arial Unicode MS"/>
          <w:kern w:val="2"/>
          <w:sz w:val="20"/>
          <w:szCs w:val="20"/>
          <w:lang w:val="el-GR" w:bidi="el-GR"/>
        </w:rPr>
        <w:t xml:space="preserve">Στη στήλη </w:t>
      </w:r>
      <w:r>
        <w:rPr>
          <w:rFonts w:eastAsia="Arial Unicode MS"/>
          <w:b/>
          <w:bCs/>
          <w:kern w:val="2"/>
          <w:sz w:val="20"/>
          <w:szCs w:val="20"/>
          <w:lang w:val="el-GR" w:bidi="el-GR"/>
        </w:rPr>
        <w:t>«ΑΠΑΙΤΗΣΗ»</w:t>
      </w:r>
      <w:r>
        <w:rPr>
          <w:rFonts w:eastAsia="Arial Unicode MS"/>
          <w:kern w:val="2"/>
          <w:sz w:val="20"/>
          <w:szCs w:val="20"/>
          <w:lang w:val="el-GR" w:bidi="el-GR"/>
        </w:rPr>
        <w:t xml:space="preserve"> έχει συμπληρωθεί η λέξη «ΝΑΙ» και η αντίστοιχη προδιαγραφή είναι υποχρεωτική για τον προσφέροντα, θεωρούμενη ως απαράβατος όρος σύμφωνα με την παρούσα Διακήρυξη.</w:t>
      </w:r>
    </w:p>
    <w:p>
      <w:pPr>
        <w:pStyle w:val="Normal"/>
        <w:snapToGrid w:val="false"/>
        <w:spacing w:lineRule="auto" w:line="276" w:before="0" w:after="6"/>
        <w:rPr/>
      </w:pPr>
      <w:r>
        <w:rPr>
          <w:rFonts w:eastAsia="Arial Unicode MS"/>
          <w:kern w:val="2"/>
          <w:sz w:val="20"/>
          <w:szCs w:val="20"/>
          <w:lang w:val="el-GR" w:bidi="el-GR"/>
        </w:rPr>
        <w:t xml:space="preserve">Στη στήλη </w:t>
      </w:r>
      <w:r>
        <w:rPr>
          <w:rFonts w:eastAsia="Arial Unicode MS"/>
          <w:b/>
          <w:bCs/>
          <w:kern w:val="2"/>
          <w:sz w:val="20"/>
          <w:szCs w:val="20"/>
          <w:lang w:val="el-GR" w:bidi="el-GR"/>
        </w:rPr>
        <w:t>«ΑΠΑΝΤΗΣΗ»</w:t>
      </w:r>
      <w:r>
        <w:rPr>
          <w:rFonts w:eastAsia="Arial Unicode MS"/>
          <w:kern w:val="2"/>
          <w:sz w:val="20"/>
          <w:szCs w:val="20"/>
          <w:lang w:val="el-GR" w:bidi="el-GR"/>
        </w:rPr>
        <w:t xml:space="preserve"> σημειώνεται η απάντηση του προσφέροντος που έχει τη μορφή ΝΑΙ/ΟΧΙ εάν η αντίστοιχη προδιαγραφή πληρούται ή όχι από την Προσφορά.</w:t>
      </w:r>
    </w:p>
    <w:p>
      <w:pPr>
        <w:pStyle w:val="Normal"/>
        <w:snapToGrid w:val="false"/>
        <w:spacing w:lineRule="auto" w:line="276" w:before="0" w:after="6"/>
        <w:rPr/>
      </w:pPr>
      <w:r>
        <w:rPr>
          <w:rFonts w:eastAsia="Arial Unicode MS"/>
          <w:kern w:val="2"/>
          <w:sz w:val="20"/>
          <w:szCs w:val="20"/>
          <w:lang w:val="el-GR" w:bidi="el-GR"/>
        </w:rPr>
        <w:t>Στη στήλη</w:t>
      </w:r>
      <w:r>
        <w:rPr>
          <w:rFonts w:eastAsia="Arial Unicode MS"/>
          <w:b/>
          <w:bCs/>
          <w:kern w:val="2"/>
          <w:sz w:val="20"/>
          <w:szCs w:val="20"/>
          <w:lang w:val="el-GR" w:bidi="el-GR"/>
        </w:rPr>
        <w:t xml:space="preserve"> «ΠΑΡΑΠΟΜΠΗ»</w:t>
      </w:r>
      <w:r>
        <w:rPr>
          <w:rFonts w:eastAsia="Arial Unicode MS"/>
          <w:kern w:val="2"/>
          <w:sz w:val="20"/>
          <w:szCs w:val="20"/>
          <w:lang w:val="el-GR" w:bidi="el-GR"/>
        </w:rPr>
        <w:t xml:space="preserve"> θα καταγραφεί η σαφής παραπομπή σε Παράρτημα της Τεχνικής Προσφοράς το οποίο θα περιλαμβάνει αναλυτικές τεχνικές περιγραφές του εξοπλισμού ή των υπηρεσιών ή αριθμημένα Τεχνικά Φυλλάδια κλπ., που κατά την κρίση του προσφέροντος τεκμηριώνουν τα στοιχεία των απαντήσεων στις τεχνικές προδιαγραφές.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την υπερκάλυψη και θα σημειωθεί η αντίστοιχη τεχνική προδιαγραφή (π.χ. Προδ. Κ.1).</w:t>
      </w:r>
    </w:p>
    <w:p>
      <w:pPr>
        <w:pStyle w:val="Normal"/>
        <w:snapToGrid w:val="false"/>
        <w:spacing w:lineRule="auto" w:line="360"/>
        <w:rPr>
          <w:rFonts w:eastAsia="Arial Unicode MS"/>
          <w:kern w:val="2"/>
          <w:sz w:val="20"/>
          <w:szCs w:val="20"/>
          <w:lang w:val="el-GR" w:bidi="el-GR"/>
        </w:rPr>
      </w:pPr>
      <w:r>
        <w:rPr>
          <w:rFonts w:eastAsia="Arial Unicode MS"/>
          <w:kern w:val="2"/>
          <w:sz w:val="20"/>
          <w:szCs w:val="20"/>
          <w:lang w:val="el-GR" w:bidi="el-GR"/>
        </w:rPr>
      </w:r>
    </w:p>
    <w:p>
      <w:pPr>
        <w:sectPr>
          <w:footerReference w:type="default" r:id="rId50"/>
          <w:footnotePr>
            <w:numFmt w:val="decimal"/>
          </w:footnotePr>
          <w:type w:val="nextPage"/>
          <w:pgSz w:w="11906" w:h="16838"/>
          <w:pgMar w:left="1134" w:right="1134" w:header="0" w:top="709" w:footer="479" w:bottom="709" w:gutter="0"/>
          <w:pgNumType w:fmt="decimal"/>
          <w:formProt w:val="false"/>
          <w:textDirection w:val="lrTb"/>
          <w:docGrid w:type="default" w:linePitch="360" w:charSpace="4096"/>
        </w:sectPr>
        <w:pStyle w:val="Normal"/>
        <w:snapToGrid w:val="false"/>
        <w:spacing w:lineRule="auto" w:line="360"/>
        <w:rPr>
          <w:rFonts w:ascii="Tahoma" w:hAnsi="Tahoma" w:cs="Tahoma"/>
          <w:b/>
          <w:b/>
          <w:color w:val="FF0000"/>
          <w:sz w:val="20"/>
          <w:u w:val="single"/>
          <w:lang w:val="el-GR"/>
        </w:rPr>
      </w:pPr>
      <w:r>
        <w:rPr>
          <w:rFonts w:cs="Tahoma" w:ascii="Tahoma" w:hAnsi="Tahoma"/>
          <w:b/>
          <w:color w:val="FF0000"/>
          <w:sz w:val="20"/>
          <w:u w:val="single"/>
          <w:lang w:val="el-GR"/>
        </w:rPr>
      </w:r>
    </w:p>
    <w:p>
      <w:pPr>
        <w:pStyle w:val="Standard"/>
        <w:jc w:val="center"/>
        <w:rPr/>
      </w:pPr>
      <w:r>
        <w:rPr>
          <w:rFonts w:cs="Tahoma" w:ascii="Tahoma" w:hAnsi="Tahoma"/>
          <w:b/>
          <w:color w:val="000000"/>
          <w:sz w:val="20"/>
          <w:u w:val="single"/>
        </w:rPr>
        <w:t xml:space="preserve">ΠΑΡΑΡΤΗΜΑ </w:t>
      </w:r>
      <w:r>
        <w:rPr>
          <w:rFonts w:cs="Tahoma" w:ascii="Tahoma" w:hAnsi="Tahoma"/>
          <w:b/>
          <w:color w:val="000000"/>
          <w:sz w:val="20"/>
          <w:u w:val="single"/>
          <w:lang w:val="en-US" w:eastAsia="ar-SA"/>
        </w:rPr>
        <w:t>II</w:t>
      </w:r>
      <w:r>
        <w:rPr>
          <w:rFonts w:cs="Tahoma" w:ascii="Tahoma" w:hAnsi="Tahoma"/>
          <w:b/>
          <w:color w:val="000000"/>
          <w:sz w:val="20"/>
          <w:u w:val="single"/>
        </w:rPr>
        <w:t>. ΥΠΟΔΕΙΓΜΑ ΟΙΚΟΝΟΜΙΚΗΣ ΠΡΟΣΦΟΡΑΣ</w:t>
      </w:r>
    </w:p>
    <w:p>
      <w:pPr>
        <w:pStyle w:val="Standard"/>
        <w:jc w:val="center"/>
        <w:rPr>
          <w:rFonts w:ascii="Tahoma" w:hAnsi="Tahoma" w:cs="Tahoma"/>
          <w:b/>
          <w:b/>
          <w:color w:val="000000"/>
          <w:sz w:val="20"/>
          <w:u w:val="single"/>
        </w:rPr>
      </w:pPr>
      <w:r>
        <w:rPr>
          <w:rFonts w:cs="Tahoma" w:ascii="Tahoma" w:hAnsi="Tahoma"/>
          <w:b/>
          <w:color w:val="000000"/>
          <w:sz w:val="20"/>
          <w:u w:val="single"/>
        </w:rPr>
      </w:r>
    </w:p>
    <w:p>
      <w:pPr>
        <w:pStyle w:val="Standard"/>
        <w:jc w:val="center"/>
        <w:rPr>
          <w:rFonts w:ascii="Tahoma" w:hAnsi="Tahoma" w:cs="Tahoma"/>
          <w:b/>
          <w:b/>
          <w:sz w:val="20"/>
        </w:rPr>
      </w:pPr>
      <w:r>
        <w:rPr>
          <w:rFonts w:cs="Tahoma" w:ascii="Tahoma" w:hAnsi="Tahoma"/>
          <w:b/>
          <w:sz w:val="20"/>
        </w:rPr>
        <w:t xml:space="preserve">ΟΙΚΟΝΟΜΙΚΗ ΠΡΟΣΦΟΡΑ </w:t>
      </w:r>
    </w:p>
    <w:p>
      <w:pPr>
        <w:pStyle w:val="Standard"/>
        <w:jc w:val="center"/>
        <w:rPr>
          <w:rFonts w:ascii="Tahoma" w:hAnsi="Tahoma" w:cs="Tahoma"/>
          <w:sz w:val="20"/>
        </w:rPr>
      </w:pPr>
      <w:r>
        <w:rPr>
          <w:rFonts w:cs="Tahoma" w:ascii="Tahoma" w:hAnsi="Tahoma"/>
          <w:sz w:val="20"/>
        </w:rPr>
        <w:t xml:space="preserve">Ο Οικονομικός Φορέας  συμπληρώνει το παρόν με την ανάλυση του κόστους ξεχωριστά για το κάθε Κτίριο </w:t>
      </w:r>
    </w:p>
    <w:p>
      <w:pPr>
        <w:pStyle w:val="Standard"/>
        <w:jc w:val="center"/>
        <w:rPr>
          <w:rFonts w:ascii="Calibri" w:hAnsi="Calibri" w:cs="Calibri"/>
          <w:sz w:val="20"/>
        </w:rPr>
      </w:pPr>
      <w:r>
        <w:rPr>
          <w:rFonts w:cs="Calibri" w:ascii="Calibri" w:hAnsi="Calibri"/>
          <w:sz w:val="20"/>
        </w:rPr>
      </w:r>
    </w:p>
    <w:tbl>
      <w:tblPr>
        <w:tblW w:w="14755" w:type="dxa"/>
        <w:jc w:val="left"/>
        <w:tblInd w:w="-245" w:type="dxa"/>
        <w:tblCellMar>
          <w:top w:w="0" w:type="dxa"/>
          <w:left w:w="10" w:type="dxa"/>
          <w:bottom w:w="0" w:type="dxa"/>
          <w:right w:w="10" w:type="dxa"/>
        </w:tblCellMar>
      </w:tblPr>
      <w:tblGrid>
        <w:gridCol w:w="442"/>
        <w:gridCol w:w="6519"/>
        <w:gridCol w:w="3190"/>
        <w:gridCol w:w="2597"/>
        <w:gridCol w:w="2007"/>
      </w:tblGrid>
      <w:tr>
        <w:trPr>
          <w:tblHeader w:val="true"/>
          <w:trHeight w:val="339" w:hRule="atLeast"/>
        </w:trPr>
        <w:tc>
          <w:tcPr>
            <w:tcW w:w="442" w:type="dxa"/>
            <w:vMerge w:val="restart"/>
            <w:tcBorders>
              <w:top w:val="single" w:sz="4" w:space="0" w:color="000000"/>
              <w:left w:val="single" w:sz="4" w:space="0" w:color="000000"/>
            </w:tcBorders>
            <w:shd w:color="auto" w:fill="548DD4" w:val="clear"/>
            <w:vAlign w:val="center"/>
          </w:tcPr>
          <w:p>
            <w:pPr>
              <w:pStyle w:val="Standard"/>
              <w:spacing w:lineRule="auto" w:line="360"/>
              <w:jc w:val="center"/>
              <w:rPr>
                <w:rFonts w:ascii="Tahoma" w:hAnsi="Tahoma" w:cs="Tahoma"/>
                <w:b/>
                <w:b/>
                <w:sz w:val="20"/>
              </w:rPr>
            </w:pPr>
            <w:r>
              <w:rPr>
                <w:rFonts w:cs="Tahoma" w:ascii="Tahoma" w:hAnsi="Tahoma"/>
                <w:b/>
                <w:sz w:val="20"/>
              </w:rPr>
              <w:t>Α/Α</w:t>
            </w:r>
          </w:p>
        </w:tc>
        <w:tc>
          <w:tcPr>
            <w:tcW w:w="6519" w:type="dxa"/>
            <w:vMerge w:val="restart"/>
            <w:tcBorders>
              <w:top w:val="single" w:sz="4" w:space="0" w:color="000000"/>
              <w:left w:val="single" w:sz="4" w:space="0" w:color="000000"/>
            </w:tcBorders>
            <w:shd w:color="auto" w:fill="548DD4" w:val="clear"/>
            <w:vAlign w:val="center"/>
          </w:tcPr>
          <w:p>
            <w:pPr>
              <w:pStyle w:val="Standard"/>
              <w:jc w:val="center"/>
              <w:rPr>
                <w:rFonts w:ascii="Tahoma" w:hAnsi="Tahoma" w:cs="Tahoma"/>
                <w:b/>
                <w:b/>
                <w:sz w:val="20"/>
              </w:rPr>
            </w:pPr>
            <w:r>
              <w:rPr>
                <w:rFonts w:cs="Tahoma" w:ascii="Tahoma" w:hAnsi="Tahoma"/>
                <w:b/>
                <w:sz w:val="20"/>
              </w:rPr>
              <w:t>ΠΕΡΙΓΡΑΦΗ</w:t>
            </w:r>
          </w:p>
        </w:tc>
        <w:tc>
          <w:tcPr>
            <w:tcW w:w="7794" w:type="dxa"/>
            <w:gridSpan w:val="3"/>
            <w:tcBorders>
              <w:top w:val="single" w:sz="4" w:space="0" w:color="000000"/>
              <w:left w:val="single" w:sz="4" w:space="0" w:color="000000"/>
              <w:bottom w:val="single" w:sz="4" w:space="0" w:color="000000"/>
              <w:right w:val="single" w:sz="4" w:space="0" w:color="000000"/>
            </w:tcBorders>
            <w:shd w:color="auto" w:fill="548DD4" w:val="clear"/>
            <w:vAlign w:val="center"/>
          </w:tcPr>
          <w:p>
            <w:pPr>
              <w:pStyle w:val="Standard"/>
              <w:snapToGrid w:val="false"/>
              <w:spacing w:lineRule="auto" w:line="360"/>
              <w:jc w:val="center"/>
              <w:rPr>
                <w:rFonts w:ascii="Tahoma" w:hAnsi="Tahoma" w:cs="Tahoma"/>
                <w:b/>
                <w:b/>
                <w:sz w:val="20"/>
              </w:rPr>
            </w:pPr>
            <w:r>
              <w:rPr>
                <w:rFonts w:cs="Tahoma" w:ascii="Tahoma" w:hAnsi="Tahoma"/>
                <w:b/>
                <w:sz w:val="20"/>
              </w:rPr>
              <w:t>ΑΝΑΛΥΣΗ ΚΟΣΤΟΥΣ ΑΝΑ ΚΤΙΡΙΟ</w:t>
            </w:r>
          </w:p>
        </w:tc>
      </w:tr>
      <w:tr>
        <w:trPr>
          <w:tblHeader w:val="true"/>
          <w:trHeight w:val="358" w:hRule="atLeast"/>
        </w:trPr>
        <w:tc>
          <w:tcPr>
            <w:tcW w:w="442" w:type="dxa"/>
            <w:vMerge w:val="continue"/>
            <w:tcBorders>
              <w:top w:val="single" w:sz="4" w:space="0" w:color="000000"/>
              <w:left w:val="single" w:sz="4" w:space="0" w:color="000000"/>
            </w:tcBorders>
            <w:shd w:color="auto" w:fill="548DD4" w:val="clear"/>
            <w:vAlign w:val="center"/>
          </w:tcPr>
          <w:p>
            <w:pPr>
              <w:pStyle w:val="Normal"/>
              <w:widowControl/>
              <w:suppressAutoHyphens w:val="true"/>
              <w:bidi w:val="0"/>
              <w:spacing w:before="0" w:after="120"/>
              <w:jc w:val="both"/>
              <w:rPr/>
            </w:pPr>
            <w:r>
              <w:rPr/>
            </w:r>
          </w:p>
        </w:tc>
        <w:tc>
          <w:tcPr>
            <w:tcW w:w="6519" w:type="dxa"/>
            <w:vMerge w:val="continue"/>
            <w:tcBorders>
              <w:top w:val="single" w:sz="4" w:space="0" w:color="000000"/>
              <w:left w:val="single" w:sz="4" w:space="0" w:color="000000"/>
            </w:tcBorders>
            <w:shd w:color="auto" w:fill="548DD4" w:val="clear"/>
            <w:vAlign w:val="center"/>
          </w:tcPr>
          <w:p>
            <w:pPr>
              <w:pStyle w:val="Normal"/>
              <w:widowControl/>
              <w:suppressAutoHyphens w:val="true"/>
              <w:bidi w:val="0"/>
              <w:spacing w:before="0" w:after="120"/>
              <w:jc w:val="both"/>
              <w:rPr/>
            </w:pPr>
            <w:r>
              <w:rPr/>
            </w:r>
          </w:p>
        </w:tc>
        <w:tc>
          <w:tcPr>
            <w:tcW w:w="3190" w:type="dxa"/>
            <w:tcBorders>
              <w:top w:val="single" w:sz="4" w:space="0" w:color="000000"/>
              <w:left w:val="single" w:sz="4" w:space="0" w:color="000000"/>
              <w:bottom w:val="single" w:sz="4" w:space="0" w:color="000000"/>
            </w:tcBorders>
            <w:shd w:color="auto" w:fill="548DD4" w:val="clear"/>
            <w:vAlign w:val="center"/>
          </w:tcPr>
          <w:p>
            <w:pPr>
              <w:pStyle w:val="Standard"/>
              <w:spacing w:before="0" w:after="6"/>
              <w:jc w:val="center"/>
              <w:rPr>
                <w:rFonts w:ascii="Tahoma" w:hAnsi="Tahoma" w:cs="Tahoma"/>
                <w:b/>
                <w:b/>
                <w:sz w:val="20"/>
              </w:rPr>
            </w:pPr>
            <w:r>
              <w:rPr>
                <w:rFonts w:cs="Tahoma" w:ascii="Tahoma" w:hAnsi="Tahoma"/>
                <w:b/>
                <w:sz w:val="20"/>
              </w:rPr>
              <w:t>ΚΤΙΡΙΟ με α/α 1</w:t>
            </w:r>
          </w:p>
        </w:tc>
        <w:tc>
          <w:tcPr>
            <w:tcW w:w="2597" w:type="dxa"/>
            <w:tcBorders>
              <w:top w:val="single" w:sz="4" w:space="0" w:color="000000"/>
              <w:left w:val="single" w:sz="4" w:space="0" w:color="000000"/>
              <w:bottom w:val="single" w:sz="4" w:space="0" w:color="000000"/>
            </w:tcBorders>
            <w:shd w:color="auto" w:fill="548DD4" w:val="clear"/>
            <w:vAlign w:val="center"/>
          </w:tcPr>
          <w:p>
            <w:pPr>
              <w:pStyle w:val="Standard"/>
              <w:spacing w:lineRule="auto" w:line="360"/>
              <w:jc w:val="center"/>
              <w:rPr>
                <w:rFonts w:ascii="Tahoma" w:hAnsi="Tahoma" w:cs="Tahoma"/>
                <w:b/>
                <w:b/>
                <w:sz w:val="20"/>
              </w:rPr>
            </w:pPr>
            <w:r>
              <w:rPr>
                <w:rFonts w:cs="Tahoma" w:ascii="Tahoma" w:hAnsi="Tahoma"/>
                <w:b/>
                <w:sz w:val="20"/>
              </w:rPr>
              <w:t>ΚΤΙΡΙΟ με α/α 2</w:t>
            </w:r>
          </w:p>
        </w:tc>
        <w:tc>
          <w:tcPr>
            <w:tcW w:w="2007" w:type="dxa"/>
            <w:tcBorders>
              <w:top w:val="single" w:sz="4" w:space="0" w:color="000000"/>
              <w:left w:val="single" w:sz="4" w:space="0" w:color="000000"/>
              <w:bottom w:val="single" w:sz="4" w:space="0" w:color="000000"/>
              <w:right w:val="single" w:sz="4" w:space="0" w:color="000000"/>
            </w:tcBorders>
            <w:shd w:color="auto" w:fill="548DD4" w:val="clear"/>
            <w:vAlign w:val="center"/>
          </w:tcPr>
          <w:p>
            <w:pPr>
              <w:pStyle w:val="Standard"/>
              <w:spacing w:lineRule="auto" w:line="360"/>
              <w:jc w:val="center"/>
              <w:rPr>
                <w:rFonts w:ascii="Tahoma" w:hAnsi="Tahoma" w:cs="Tahoma"/>
                <w:b/>
                <w:b/>
                <w:sz w:val="20"/>
              </w:rPr>
            </w:pPr>
            <w:r>
              <w:rPr>
                <w:rFonts w:cs="Tahoma" w:ascii="Tahoma" w:hAnsi="Tahoma"/>
                <w:b/>
                <w:sz w:val="20"/>
              </w:rPr>
              <w:t>ΣΥΝΟΛΑ</w:t>
            </w:r>
          </w:p>
        </w:tc>
      </w:tr>
      <w:tr>
        <w:trPr>
          <w:tblHeader w:val="true"/>
          <w:trHeight w:val="144" w:hRule="atLeast"/>
        </w:trPr>
        <w:tc>
          <w:tcPr>
            <w:tcW w:w="442" w:type="dxa"/>
            <w:vMerge w:val="continue"/>
            <w:tcBorders>
              <w:top w:val="single" w:sz="4" w:space="0" w:color="000000"/>
              <w:left w:val="single" w:sz="4" w:space="0" w:color="000000"/>
            </w:tcBorders>
            <w:shd w:color="auto" w:fill="548DD4" w:val="clear"/>
            <w:vAlign w:val="center"/>
          </w:tcPr>
          <w:p>
            <w:pPr>
              <w:pStyle w:val="Normal"/>
              <w:widowControl/>
              <w:suppressAutoHyphens w:val="true"/>
              <w:bidi w:val="0"/>
              <w:spacing w:before="0" w:after="120"/>
              <w:jc w:val="both"/>
              <w:rPr/>
            </w:pPr>
            <w:r>
              <w:rPr/>
            </w:r>
          </w:p>
        </w:tc>
        <w:tc>
          <w:tcPr>
            <w:tcW w:w="6519" w:type="dxa"/>
            <w:vMerge w:val="continue"/>
            <w:tcBorders>
              <w:top w:val="single" w:sz="4" w:space="0" w:color="000000"/>
              <w:left w:val="single" w:sz="4" w:space="0" w:color="000000"/>
            </w:tcBorders>
            <w:shd w:color="auto" w:fill="548DD4" w:val="clear"/>
            <w:vAlign w:val="center"/>
          </w:tcPr>
          <w:p>
            <w:pPr>
              <w:pStyle w:val="Normal"/>
              <w:widowControl/>
              <w:suppressAutoHyphens w:val="true"/>
              <w:bidi w:val="0"/>
              <w:spacing w:before="0" w:after="120"/>
              <w:jc w:val="both"/>
              <w:rPr/>
            </w:pPr>
            <w:r>
              <w:rPr/>
            </w:r>
          </w:p>
        </w:tc>
        <w:tc>
          <w:tcPr>
            <w:tcW w:w="3190" w:type="dxa"/>
            <w:tcBorders>
              <w:top w:val="single" w:sz="4" w:space="0" w:color="000000"/>
              <w:left w:val="single" w:sz="4" w:space="0" w:color="000000"/>
              <w:bottom w:val="single" w:sz="4" w:space="0" w:color="000000"/>
            </w:tcBorders>
            <w:shd w:color="auto" w:fill="548DD4" w:val="clear"/>
            <w:vAlign w:val="center"/>
          </w:tcPr>
          <w:p>
            <w:pPr>
              <w:pStyle w:val="Standard"/>
              <w:spacing w:before="0" w:after="6"/>
              <w:jc w:val="center"/>
              <w:rPr>
                <w:rFonts w:ascii="Tahoma" w:hAnsi="Tahoma" w:cs="Tahoma"/>
                <w:b/>
                <w:b/>
                <w:sz w:val="20"/>
              </w:rPr>
            </w:pPr>
            <w:r>
              <w:rPr>
                <w:rFonts w:cs="Tahoma" w:ascii="Tahoma" w:hAnsi="Tahoma"/>
                <w:b/>
                <w:sz w:val="20"/>
              </w:rPr>
              <w:t>Ταχ. Δ/νση …..</w:t>
            </w:r>
          </w:p>
        </w:tc>
        <w:tc>
          <w:tcPr>
            <w:tcW w:w="2597" w:type="dxa"/>
            <w:tcBorders>
              <w:top w:val="single" w:sz="4" w:space="0" w:color="000000"/>
              <w:left w:val="single" w:sz="4" w:space="0" w:color="000000"/>
              <w:bottom w:val="single" w:sz="4" w:space="0" w:color="000000"/>
            </w:tcBorders>
            <w:shd w:color="auto" w:fill="548DD4" w:val="clear"/>
            <w:vAlign w:val="center"/>
          </w:tcPr>
          <w:p>
            <w:pPr>
              <w:pStyle w:val="Standard"/>
              <w:spacing w:lineRule="auto" w:line="360"/>
              <w:jc w:val="center"/>
              <w:rPr>
                <w:rFonts w:ascii="Tahoma" w:hAnsi="Tahoma" w:cs="Tahoma"/>
                <w:b/>
                <w:b/>
                <w:sz w:val="20"/>
              </w:rPr>
            </w:pPr>
            <w:r>
              <w:rPr>
                <w:rFonts w:cs="Tahoma" w:ascii="Tahoma" w:hAnsi="Tahoma"/>
                <w:b/>
                <w:sz w:val="20"/>
              </w:rPr>
              <w:t>Ταχ. Δ/νση …..</w:t>
            </w:r>
          </w:p>
        </w:tc>
        <w:tc>
          <w:tcPr>
            <w:tcW w:w="2007" w:type="dxa"/>
            <w:tcBorders>
              <w:top w:val="single" w:sz="4" w:space="0" w:color="000000"/>
              <w:left w:val="single" w:sz="4" w:space="0" w:color="000000"/>
              <w:bottom w:val="single" w:sz="4" w:space="0" w:color="000000"/>
              <w:right w:val="single" w:sz="4" w:space="0" w:color="000000"/>
            </w:tcBorders>
            <w:shd w:color="auto" w:fill="548DD4" w:val="clear"/>
            <w:vAlign w:val="center"/>
          </w:tcPr>
          <w:p>
            <w:pPr>
              <w:pStyle w:val="Standard"/>
              <w:snapToGrid w:val="false"/>
              <w:spacing w:lineRule="auto" w:line="360"/>
              <w:jc w:val="center"/>
              <w:rPr>
                <w:rFonts w:ascii="Tahoma" w:hAnsi="Tahoma" w:cs="Tahoma"/>
                <w:b/>
                <w:b/>
                <w:sz w:val="20"/>
              </w:rPr>
            </w:pPr>
            <w:r>
              <w:rPr>
                <w:rFonts w:cs="Tahoma" w:ascii="Tahoma" w:hAnsi="Tahoma"/>
                <w:b/>
                <w:sz w:val="20"/>
              </w:rPr>
            </w:r>
          </w:p>
        </w:tc>
      </w:tr>
      <w:tr>
        <w:trPr>
          <w:trHeight w:val="526" w:hRule="atLeast"/>
        </w:trPr>
        <w:tc>
          <w:tcPr>
            <w:tcW w:w="6961" w:type="dxa"/>
            <w:gridSpan w:val="2"/>
            <w:tcBorders>
              <w:top w:val="single" w:sz="4" w:space="0" w:color="000000"/>
              <w:left w:val="single" w:sz="4" w:space="0" w:color="000000"/>
              <w:bottom w:val="single" w:sz="4" w:space="0" w:color="000000"/>
            </w:tcBorders>
            <w:shd w:color="auto" w:fill="D9D9D9" w:val="clear"/>
            <w:vAlign w:val="center"/>
          </w:tcPr>
          <w:p>
            <w:pPr>
              <w:pStyle w:val="Standard"/>
              <w:rPr>
                <w:rFonts w:ascii="Tahoma" w:hAnsi="Tahoma" w:cs="Tahoma"/>
                <w:b/>
                <w:b/>
                <w:sz w:val="20"/>
              </w:rPr>
            </w:pPr>
            <w:r>
              <w:rPr>
                <w:rFonts w:cs="Tahoma" w:ascii="Tahoma" w:hAnsi="Tahoma"/>
                <w:b/>
                <w:sz w:val="20"/>
              </w:rPr>
              <w:t xml:space="preserve">ΚΕΦΑΛΑΙΟ Α.  </w:t>
            </w:r>
          </w:p>
          <w:p>
            <w:pPr>
              <w:pStyle w:val="Standard"/>
              <w:rPr/>
            </w:pPr>
            <w:r>
              <w:rPr>
                <w:rFonts w:cs="Tahoma" w:ascii="Tahoma" w:hAnsi="Tahoma"/>
                <w:sz w:val="20"/>
              </w:rPr>
              <w:t xml:space="preserve">(στοιχεία </w:t>
            </w:r>
            <w:r>
              <w:rPr>
                <w:rFonts w:cs="Tahoma" w:ascii="Tahoma" w:hAnsi="Tahoma"/>
                <w:color w:val="000000"/>
                <w:sz w:val="20"/>
              </w:rPr>
              <w:t>άρθρου 68 του Ν.3863/2010)</w:t>
            </w:r>
          </w:p>
        </w:tc>
        <w:tc>
          <w:tcPr>
            <w:tcW w:w="3190" w:type="dxa"/>
            <w:tcBorders>
              <w:top w:val="single" w:sz="4" w:space="0" w:color="000000"/>
              <w:left w:val="single" w:sz="4" w:space="0" w:color="000000"/>
              <w:bottom w:val="single" w:sz="4" w:space="0" w:color="000000"/>
            </w:tcBorders>
            <w:shd w:color="auto" w:fill="D9D9D9"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D9D9D9"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394"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1</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Calibri" w:hAnsi="Calibri" w:eastAsia="Arial Unicode MS" w:cs="Calibri"/>
                <w:sz w:val="20"/>
                <w:szCs w:val="20"/>
                <w:lang w:bidi="el-GR"/>
              </w:rPr>
            </w:pPr>
            <w:r>
              <w:rPr>
                <w:rFonts w:eastAsia="Arial Unicode MS" w:cs="Calibri" w:ascii="Calibri" w:hAnsi="Calibri"/>
                <w:sz w:val="20"/>
                <w:szCs w:val="20"/>
                <w:lang w:bidi="el-GR"/>
              </w:rPr>
              <w:t>Αριθμός εργαζομένων για κάθε ημέρα καθαρισμού</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273"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2</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Calibri" w:hAnsi="Calibri" w:eastAsia="Arial Unicode MS" w:cs="Calibri"/>
                <w:sz w:val="20"/>
                <w:szCs w:val="20"/>
                <w:lang w:bidi="el-GR"/>
              </w:rPr>
            </w:pPr>
            <w:r>
              <w:rPr>
                <w:rFonts w:eastAsia="Arial Unicode MS" w:cs="Calibri" w:ascii="Calibri" w:hAnsi="Calibri"/>
                <w:sz w:val="20"/>
                <w:szCs w:val="20"/>
                <w:lang w:bidi="el-GR"/>
              </w:rPr>
              <w:t>Τετραγωνικά μέτρα καθαρισμού ανά άτομο</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307" w:hRule="atLeast"/>
        </w:trPr>
        <w:tc>
          <w:tcPr>
            <w:tcW w:w="442" w:type="dxa"/>
            <w:vMerge w:val="restart"/>
            <w:tcBorders>
              <w:top w:val="single" w:sz="4" w:space="0" w:color="000000"/>
              <w:left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3</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pPr>
            <w:r>
              <w:rPr>
                <w:rFonts w:eastAsia="Arial Unicode MS" w:cs="Calibri" w:ascii="Calibri" w:hAnsi="Calibri"/>
                <w:b/>
                <w:sz w:val="20"/>
                <w:szCs w:val="20"/>
                <w:lang w:bidi="el-GR"/>
              </w:rPr>
              <w:t xml:space="preserve">3α. </w:t>
            </w:r>
            <w:r>
              <w:rPr>
                <w:rFonts w:eastAsia="Arial Unicode MS" w:cs="Calibri" w:ascii="Calibri" w:hAnsi="Calibri"/>
                <w:sz w:val="20"/>
                <w:szCs w:val="20"/>
                <w:lang w:bidi="el-GR"/>
              </w:rPr>
              <w:t>Ώρες εργασίας ανά εργαζόμενο για κάθε ημέρα καθαρισμού</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1152" w:hRule="atLeast"/>
        </w:trPr>
        <w:tc>
          <w:tcPr>
            <w:tcW w:w="442"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pPr>
            <w:r>
              <w:rPr>
                <w:rFonts w:eastAsia="Arial Unicode MS" w:cs="Calibri" w:ascii="Calibri" w:hAnsi="Calibri"/>
                <w:b/>
                <w:sz w:val="20"/>
                <w:szCs w:val="20"/>
                <w:lang w:bidi="el-GR"/>
              </w:rPr>
              <w:t>3β.</w:t>
            </w:r>
            <w:r>
              <w:rPr>
                <w:rFonts w:eastAsia="Arial Unicode MS" w:cs="Calibri" w:ascii="Calibri" w:hAnsi="Calibri"/>
                <w:sz w:val="20"/>
                <w:szCs w:val="20"/>
                <w:lang w:bidi="el-GR"/>
              </w:rPr>
              <w:t xml:space="preserve">  Σύνολο ωρών εργασίας εργαζομένων για κάθε ημέρα καθαρισμού (Επισημαίνεται ότι σύμφωνα με την εγκύκλιο 27/2012 του τ. ΙΚΑ-ΕΤΑΜ οι καθαριστές και οι καθαρίστριες με απασχόληση πάνω ή 30 ώρες/εβδομάδα, υπάγονται στα βαρέα)</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rPr>
                <w:rFonts w:ascii="Tahoma" w:hAnsi="Tahoma" w:cs="Tahoma"/>
                <w:sz w:val="20"/>
              </w:rPr>
            </w:pPr>
            <w:r>
              <w:rPr>
                <w:rFonts w:cs="Tahoma" w:ascii="Tahoma" w:hAnsi="Tahoma"/>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483"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4</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pPr>
            <w:r>
              <w:rPr>
                <w:rFonts w:eastAsia="Arial Unicode MS" w:cs="Calibri" w:ascii="Calibri" w:hAnsi="Calibri"/>
                <w:sz w:val="20"/>
                <w:szCs w:val="20"/>
                <w:lang w:bidi="el-GR"/>
              </w:rPr>
              <w:t xml:space="preserve">Ημέρες εργασίας εργαζομένων για 1 μήνα περίοδο παροχής υπηρεσιών </w:t>
            </w:r>
            <w:r>
              <w:rPr>
                <w:rFonts w:eastAsia="Arial Unicode MS" w:cs="Calibri" w:ascii="Calibri" w:hAnsi="Calibri"/>
                <w:b/>
                <w:sz w:val="20"/>
                <w:szCs w:val="20"/>
                <w:lang w:bidi="el-GR"/>
              </w:rPr>
              <w:t>(απασχόληση 21,75 μέρες/μήνα)</w:t>
            </w:r>
            <w:r>
              <w:rPr>
                <w:rFonts w:eastAsia="Arial Unicode MS" w:cs="Calibri" w:ascii="Calibri" w:hAnsi="Calibri"/>
                <w:sz w:val="20"/>
                <w:szCs w:val="20"/>
                <w:lang w:bidi="el-GR"/>
              </w:rPr>
              <w:t xml:space="preserve"> </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562"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5</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Calibri" w:hAnsi="Calibri" w:eastAsia="Arial Unicode MS" w:cs="Calibri"/>
                <w:sz w:val="20"/>
                <w:szCs w:val="20"/>
                <w:lang w:bidi="el-GR"/>
              </w:rPr>
            </w:pPr>
            <w:r>
              <w:rPr>
                <w:rFonts w:eastAsia="Arial Unicode MS" w:cs="Calibri" w:ascii="Calibri" w:hAnsi="Calibri"/>
                <w:sz w:val="20"/>
                <w:szCs w:val="20"/>
                <w:lang w:bidi="el-GR"/>
              </w:rPr>
              <w:t xml:space="preserve">Συλλογική Σύμβαση Εργασίας στην οποία υπάγονται οι εργαζόμενοι </w:t>
            </w:r>
          </w:p>
          <w:p>
            <w:pPr>
              <w:pStyle w:val="Standard"/>
              <w:rPr>
                <w:rFonts w:ascii="Calibri" w:hAnsi="Calibri" w:eastAsia="Arial Unicode MS" w:cs="Calibri"/>
                <w:b/>
                <w:b/>
                <w:sz w:val="20"/>
                <w:szCs w:val="20"/>
                <w:lang w:bidi="el-GR"/>
              </w:rPr>
            </w:pPr>
            <w:r>
              <w:rPr>
                <w:rFonts w:eastAsia="Arial Unicode MS" w:cs="Calibri" w:ascii="Calibri" w:hAnsi="Calibri"/>
                <w:b/>
                <w:sz w:val="20"/>
                <w:szCs w:val="20"/>
                <w:lang w:bidi="el-GR"/>
              </w:rPr>
              <w:t>(να επισυναφθεί αντίγραφο)</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461" w:hRule="atLeast"/>
        </w:trPr>
        <w:tc>
          <w:tcPr>
            <w:tcW w:w="6961" w:type="dxa"/>
            <w:gridSpan w:val="2"/>
            <w:tcBorders>
              <w:top w:val="single" w:sz="4" w:space="0" w:color="000000"/>
              <w:left w:val="single" w:sz="4" w:space="0" w:color="000000"/>
              <w:bottom w:val="single" w:sz="4" w:space="0" w:color="000000"/>
            </w:tcBorders>
            <w:shd w:color="auto" w:fill="D9D9D9" w:val="clear"/>
            <w:vAlign w:val="center"/>
          </w:tcPr>
          <w:p>
            <w:pPr>
              <w:pStyle w:val="Standard"/>
              <w:rPr>
                <w:rFonts w:ascii="Calibri" w:hAnsi="Calibri" w:eastAsia="Arial Unicode MS" w:cs="Calibri"/>
                <w:b/>
                <w:b/>
                <w:sz w:val="20"/>
                <w:szCs w:val="20"/>
                <w:lang w:bidi="el-GR"/>
              </w:rPr>
            </w:pPr>
            <w:r>
              <w:rPr>
                <w:rFonts w:eastAsia="Arial Unicode MS" w:cs="Calibri" w:ascii="Calibri" w:hAnsi="Calibri"/>
                <w:b/>
                <w:sz w:val="20"/>
                <w:szCs w:val="20"/>
                <w:lang w:bidi="el-GR"/>
              </w:rPr>
              <w:t>ΚΕΦΑΛΑΙΟ Β. ΚΟΣΤΟΣ ΩΡΟΜΙΣΘΙΟΥ</w:t>
            </w:r>
          </w:p>
        </w:tc>
        <w:tc>
          <w:tcPr>
            <w:tcW w:w="3190" w:type="dxa"/>
            <w:tcBorders>
              <w:top w:val="single" w:sz="4" w:space="0" w:color="000000"/>
              <w:left w:val="single" w:sz="4" w:space="0" w:color="000000"/>
              <w:bottom w:val="single" w:sz="4" w:space="0" w:color="000000"/>
            </w:tcBorders>
            <w:shd w:color="auto" w:fill="D9D9D9"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D9D9D9"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142"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6</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Calibri" w:hAnsi="Calibri" w:eastAsia="Arial Unicode MS" w:cs="Calibri"/>
                <w:sz w:val="20"/>
                <w:szCs w:val="20"/>
                <w:lang w:bidi="el-GR"/>
              </w:rPr>
            </w:pPr>
            <w:r>
              <w:rPr>
                <w:rFonts w:eastAsia="Arial Unicode MS" w:cs="Calibri" w:ascii="Calibri" w:hAnsi="Calibri"/>
                <w:sz w:val="20"/>
                <w:szCs w:val="20"/>
                <w:lang w:bidi="el-GR"/>
              </w:rPr>
              <w:t>Προβλεπόμενο ωρομίσθιο εργαζομένων</w:t>
            </w:r>
          </w:p>
          <w:p>
            <w:pPr>
              <w:pStyle w:val="Standard"/>
              <w:rPr>
                <w:rFonts w:ascii="Calibri" w:hAnsi="Calibri" w:eastAsia="Arial Unicode MS" w:cs="Calibri"/>
                <w:sz w:val="20"/>
                <w:szCs w:val="20"/>
                <w:lang w:bidi="el-GR"/>
              </w:rPr>
            </w:pPr>
            <w:r>
              <w:rPr>
                <w:rFonts w:eastAsia="Arial Unicode MS" w:cs="Calibri" w:ascii="Calibri" w:hAnsi="Calibri"/>
                <w:sz w:val="20"/>
                <w:szCs w:val="20"/>
                <w:lang w:bidi="el-GR"/>
              </w:rPr>
              <w:t>(βάσει της Συλλογικής Σύμβασης Εργασίας, στην οποία υπάγεται)</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422" w:hRule="atLeast"/>
        </w:trPr>
        <w:tc>
          <w:tcPr>
            <w:tcW w:w="6961" w:type="dxa"/>
            <w:gridSpan w:val="2"/>
            <w:tcBorders>
              <w:top w:val="single" w:sz="4" w:space="0" w:color="000000"/>
              <w:left w:val="single" w:sz="4" w:space="0" w:color="000000"/>
              <w:bottom w:val="single" w:sz="4" w:space="0" w:color="000000"/>
            </w:tcBorders>
            <w:shd w:color="auto" w:fill="D9D9D9" w:val="clear"/>
            <w:vAlign w:val="center"/>
          </w:tcPr>
          <w:p>
            <w:pPr>
              <w:pStyle w:val="Standard"/>
              <w:rPr>
                <w:rFonts w:ascii="Calibri" w:hAnsi="Calibri" w:eastAsia="Arial Unicode MS" w:cs="Calibri"/>
                <w:b/>
                <w:b/>
                <w:sz w:val="20"/>
                <w:szCs w:val="20"/>
                <w:lang w:bidi="el-GR"/>
              </w:rPr>
            </w:pPr>
            <w:r>
              <w:rPr>
                <w:rFonts w:eastAsia="Arial Unicode MS" w:cs="Calibri" w:ascii="Calibri" w:hAnsi="Calibri"/>
                <w:b/>
                <w:sz w:val="20"/>
                <w:szCs w:val="20"/>
                <w:lang w:bidi="el-GR"/>
              </w:rPr>
              <w:t xml:space="preserve">ΚΕΦΑΛΑΙΟ Γ. </w:t>
            </w:r>
          </w:p>
          <w:p>
            <w:pPr>
              <w:pStyle w:val="Standard"/>
              <w:rPr/>
            </w:pPr>
            <w:r>
              <w:rPr>
                <w:rFonts w:eastAsia="Arial Unicode MS" w:cs="Calibri" w:ascii="Calibri" w:hAnsi="Calibri"/>
                <w:sz w:val="20"/>
                <w:szCs w:val="20"/>
                <w:lang w:bidi="el-GR"/>
              </w:rPr>
              <w:t>(στοιχεία άρθρου 68 του Ν.3863/2010</w:t>
            </w:r>
            <w:r>
              <w:rPr>
                <w:rFonts w:eastAsia="Arial Unicode MS" w:cs="Calibri" w:ascii="Calibri" w:hAnsi="Calibri"/>
                <w:color w:val="000000"/>
                <w:sz w:val="20"/>
                <w:szCs w:val="20"/>
                <w:lang w:bidi="el-GR"/>
              </w:rPr>
              <w:t>)</w:t>
            </w:r>
          </w:p>
        </w:tc>
        <w:tc>
          <w:tcPr>
            <w:tcW w:w="3190" w:type="dxa"/>
            <w:tcBorders>
              <w:top w:val="single" w:sz="4" w:space="0" w:color="000000"/>
              <w:left w:val="single" w:sz="4" w:space="0" w:color="000000"/>
              <w:bottom w:val="single" w:sz="4" w:space="0" w:color="000000"/>
            </w:tcBorders>
            <w:shd w:color="auto" w:fill="D9D9D9"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D9D9D9"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142" w:hRule="atLeast"/>
        </w:trPr>
        <w:tc>
          <w:tcPr>
            <w:tcW w:w="442" w:type="dxa"/>
            <w:vMerge w:val="restart"/>
            <w:tcBorders>
              <w:top w:val="single" w:sz="4" w:space="0" w:color="000000"/>
              <w:left w:val="single" w:sz="4" w:space="0" w:color="000000"/>
            </w:tcBorders>
            <w:shd w:color="auto" w:fill="auto" w:val="clear"/>
            <w:vAlign w:val="center"/>
          </w:tcPr>
          <w:p>
            <w:pPr>
              <w:pStyle w:val="Standard"/>
              <w:snapToGrid w:val="false"/>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r>
          </w:p>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r>
          </w:p>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r>
          </w:p>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r>
          </w:p>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r>
          </w:p>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r>
          </w:p>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r>
          </w:p>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r>
          </w:p>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7</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pPr>
            <w:r>
              <w:rPr>
                <w:rFonts w:eastAsia="Arial Unicode MS" w:cs="Calibri" w:ascii="Calibri" w:hAnsi="Calibri"/>
                <w:b/>
                <w:sz w:val="20"/>
                <w:szCs w:val="20"/>
                <w:lang w:bidi="el-GR"/>
              </w:rPr>
              <w:t>7α.</w:t>
            </w:r>
            <w:r>
              <w:rPr>
                <w:rFonts w:eastAsia="Arial Unicode MS" w:cs="Calibri" w:ascii="Calibri" w:hAnsi="Calibri"/>
                <w:sz w:val="20"/>
                <w:szCs w:val="20"/>
                <w:lang w:bidi="el-GR"/>
              </w:rPr>
              <w:t xml:space="preserve"> Νόμιμες αποδοχές για το σύνολο των εργαζομένων για 1 μήνα περίοδο παροχής υπηρεσιών </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142" w:hRule="atLeast"/>
        </w:trPr>
        <w:tc>
          <w:tcPr>
            <w:tcW w:w="442"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pPr>
            <w:r>
              <w:rPr>
                <w:rFonts w:eastAsia="Arial Unicode MS" w:cs="Calibri" w:ascii="Calibri" w:hAnsi="Calibri"/>
                <w:b/>
                <w:sz w:val="20"/>
                <w:szCs w:val="20"/>
                <w:lang w:bidi="el-GR"/>
              </w:rPr>
              <w:t>7β.</w:t>
            </w:r>
            <w:r>
              <w:rPr>
                <w:rFonts w:eastAsia="Arial Unicode MS" w:cs="Calibri" w:ascii="Calibri" w:hAnsi="Calibri"/>
                <w:sz w:val="20"/>
                <w:szCs w:val="20"/>
                <w:lang w:bidi="el-GR"/>
              </w:rPr>
              <w:t xml:space="preserve"> Αναλογία δώρου Χριστουγέννων για το σύνολο των εργαζομένων για 1 μήνα περίοδο παροχής υπηρεσιών</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142" w:hRule="atLeast"/>
        </w:trPr>
        <w:tc>
          <w:tcPr>
            <w:tcW w:w="442"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pPr>
            <w:r>
              <w:rPr>
                <w:rFonts w:eastAsia="Arial Unicode MS" w:cs="Calibri" w:ascii="Calibri" w:hAnsi="Calibri"/>
                <w:b/>
                <w:sz w:val="20"/>
                <w:szCs w:val="20"/>
                <w:lang w:bidi="el-GR"/>
              </w:rPr>
              <w:t>7γ.</w:t>
            </w:r>
            <w:r>
              <w:rPr>
                <w:rFonts w:eastAsia="Arial Unicode MS" w:cs="Calibri" w:ascii="Calibri" w:hAnsi="Calibri"/>
                <w:sz w:val="20"/>
                <w:szCs w:val="20"/>
                <w:lang w:bidi="el-GR"/>
              </w:rPr>
              <w:t xml:space="preserve"> Αναλογία δώρου Πάσχα για το σύνολο των εργαζομένων για 1 μήνα περίοδο παροχής υπηρεσιών</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142" w:hRule="atLeast"/>
        </w:trPr>
        <w:tc>
          <w:tcPr>
            <w:tcW w:w="442"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pPr>
            <w:r>
              <w:rPr>
                <w:rFonts w:eastAsia="Arial Unicode MS" w:cs="Calibri" w:ascii="Calibri" w:hAnsi="Calibri"/>
                <w:b/>
                <w:sz w:val="20"/>
                <w:szCs w:val="20"/>
                <w:lang w:bidi="el-GR"/>
              </w:rPr>
              <w:t>7δ.</w:t>
            </w:r>
            <w:r>
              <w:rPr>
                <w:rFonts w:eastAsia="Arial Unicode MS" w:cs="Calibri" w:ascii="Calibri" w:hAnsi="Calibri"/>
                <w:sz w:val="20"/>
                <w:szCs w:val="20"/>
                <w:lang w:bidi="el-GR"/>
              </w:rPr>
              <w:t xml:space="preserve"> Αναλογία επιδομάτων αδείας για το σύνολο των εργαζομένων για 1 μήνα περίοδο παροχής υπηρεσιών</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544" w:hRule="atLeast"/>
        </w:trPr>
        <w:tc>
          <w:tcPr>
            <w:tcW w:w="442"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6519" w:type="dxa"/>
            <w:tcBorders>
              <w:top w:val="single" w:sz="4" w:space="0" w:color="000000"/>
              <w:left w:val="single" w:sz="4" w:space="0" w:color="000000"/>
              <w:bottom w:val="single" w:sz="4" w:space="0" w:color="000000"/>
            </w:tcBorders>
            <w:shd w:color="auto" w:fill="auto" w:val="clear"/>
          </w:tcPr>
          <w:p>
            <w:pPr>
              <w:pStyle w:val="Standard"/>
              <w:rPr/>
            </w:pPr>
            <w:r>
              <w:rPr>
                <w:rFonts w:eastAsia="Arial Unicode MS" w:cs="Calibri" w:ascii="Calibri" w:hAnsi="Calibri"/>
                <w:b/>
                <w:sz w:val="20"/>
                <w:szCs w:val="20"/>
                <w:lang w:bidi="el-GR"/>
              </w:rPr>
              <w:t>7ε.</w:t>
            </w:r>
            <w:r>
              <w:rPr>
                <w:rFonts w:eastAsia="Arial Unicode MS" w:cs="Calibri" w:ascii="Calibri" w:hAnsi="Calibri"/>
                <w:sz w:val="20"/>
                <w:szCs w:val="20"/>
                <w:lang w:bidi="el-GR"/>
              </w:rPr>
              <w:t xml:space="preserve"> Αναλογία – αποδοχές αντικαταστάτη (ένας αντικαταστάτης ανά άτομο) για 1 μήνα περίοδο παροχής υπηρεσιών</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533" w:hRule="atLeast"/>
        </w:trPr>
        <w:tc>
          <w:tcPr>
            <w:tcW w:w="442"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6519" w:type="dxa"/>
            <w:tcBorders>
              <w:top w:val="single" w:sz="4" w:space="0" w:color="000000"/>
              <w:left w:val="single" w:sz="4" w:space="0" w:color="000000"/>
              <w:bottom w:val="single" w:sz="4" w:space="0" w:color="000000"/>
            </w:tcBorders>
            <w:shd w:color="auto" w:fill="auto" w:val="clear"/>
          </w:tcPr>
          <w:p>
            <w:pPr>
              <w:pStyle w:val="Standard"/>
              <w:rPr/>
            </w:pPr>
            <w:r>
              <w:rPr>
                <w:rFonts w:eastAsia="Arial Unicode MS" w:cs="Calibri" w:ascii="Calibri" w:hAnsi="Calibri"/>
                <w:b/>
                <w:sz w:val="20"/>
                <w:szCs w:val="20"/>
                <w:lang w:bidi="el-GR"/>
              </w:rPr>
              <w:t>7στ.</w:t>
            </w:r>
            <w:r>
              <w:rPr>
                <w:rFonts w:eastAsia="Arial Unicode MS" w:cs="Calibri" w:ascii="Calibri" w:hAnsi="Calibri"/>
                <w:sz w:val="20"/>
                <w:szCs w:val="20"/>
                <w:lang w:bidi="el-GR"/>
              </w:rPr>
              <w:t xml:space="preserve"> Αναλογία δώρου Χριστουγέννων αντικαταστάτη (ένας αντικαταστάτης ανά άτομο) για 1 μήνα περίοδο παροχής υπηρεσιών</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543" w:hRule="atLeast"/>
        </w:trPr>
        <w:tc>
          <w:tcPr>
            <w:tcW w:w="442"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6519" w:type="dxa"/>
            <w:tcBorders>
              <w:top w:val="single" w:sz="4" w:space="0" w:color="000000"/>
              <w:left w:val="single" w:sz="4" w:space="0" w:color="000000"/>
              <w:bottom w:val="single" w:sz="4" w:space="0" w:color="000000"/>
            </w:tcBorders>
            <w:shd w:color="auto" w:fill="auto" w:val="clear"/>
          </w:tcPr>
          <w:p>
            <w:pPr>
              <w:pStyle w:val="Standard"/>
              <w:rPr/>
            </w:pPr>
            <w:r>
              <w:rPr>
                <w:rFonts w:eastAsia="Arial Unicode MS" w:cs="Calibri" w:ascii="Calibri" w:hAnsi="Calibri"/>
                <w:b/>
                <w:sz w:val="20"/>
                <w:szCs w:val="20"/>
                <w:lang w:bidi="el-GR"/>
              </w:rPr>
              <w:t>7ζ.</w:t>
            </w:r>
            <w:r>
              <w:rPr>
                <w:rFonts w:eastAsia="Arial Unicode MS" w:cs="Calibri" w:ascii="Calibri" w:hAnsi="Calibri"/>
                <w:sz w:val="20"/>
                <w:szCs w:val="20"/>
                <w:lang w:bidi="el-GR"/>
              </w:rPr>
              <w:t xml:space="preserve"> Αναλογία δώρου Πάσχα αντικαταστάτη (ένας αντικαταστάτης ανά άτομο) για 1 μήνα περίοδο παροχής υπηρεσιών</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142" w:hRule="atLeast"/>
        </w:trPr>
        <w:tc>
          <w:tcPr>
            <w:tcW w:w="442"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6519" w:type="dxa"/>
            <w:tcBorders>
              <w:top w:val="single" w:sz="4" w:space="0" w:color="000000"/>
              <w:left w:val="single" w:sz="4" w:space="0" w:color="000000"/>
              <w:bottom w:val="single" w:sz="4" w:space="0" w:color="000000"/>
            </w:tcBorders>
            <w:shd w:color="auto" w:fill="auto" w:val="clear"/>
          </w:tcPr>
          <w:p>
            <w:pPr>
              <w:pStyle w:val="Standard"/>
              <w:rPr/>
            </w:pPr>
            <w:r>
              <w:rPr>
                <w:rFonts w:eastAsia="Arial Unicode MS" w:cs="Calibri" w:ascii="Calibri" w:hAnsi="Calibri"/>
                <w:b/>
                <w:sz w:val="20"/>
                <w:szCs w:val="20"/>
                <w:lang w:bidi="el-GR"/>
              </w:rPr>
              <w:t>7η.</w:t>
            </w:r>
            <w:r>
              <w:rPr>
                <w:rFonts w:eastAsia="Arial Unicode MS" w:cs="Calibri" w:ascii="Calibri" w:hAnsi="Calibri"/>
                <w:sz w:val="20"/>
                <w:szCs w:val="20"/>
                <w:lang w:bidi="el-GR"/>
              </w:rPr>
              <w:t xml:space="preserve"> Αναλογία επιδόματος αδείας αντικαταστάτη (ένας αντικαταστάτης ανά άτομο) για 1 μήνα περίοδο παροχής υπηρεσιών</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142" w:hRule="atLeast"/>
        </w:trPr>
        <w:tc>
          <w:tcPr>
            <w:tcW w:w="442" w:type="dxa"/>
            <w:vMerge w:val="continue"/>
            <w:tcBorders>
              <w:top w:val="single" w:sz="4" w:space="0" w:color="000000"/>
              <w:left w:val="single" w:sz="4" w:space="0" w:color="000000"/>
            </w:tcBorders>
            <w:shd w:color="auto" w:fill="auto" w:val="clear"/>
            <w:vAlign w:val="center"/>
          </w:tcPr>
          <w:p>
            <w:pPr>
              <w:pStyle w:val="Normal"/>
              <w:widowControl/>
              <w:suppressAutoHyphens w:val="true"/>
              <w:bidi w:val="0"/>
              <w:spacing w:before="0" w:after="120"/>
              <w:jc w:val="both"/>
              <w:rPr/>
            </w:pPr>
            <w:r>
              <w:rPr/>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Calibri" w:hAnsi="Calibri" w:eastAsia="Arial Unicode MS" w:cs="Calibri"/>
                <w:sz w:val="20"/>
                <w:szCs w:val="20"/>
                <w:lang w:bidi="el-GR"/>
              </w:rPr>
            </w:pPr>
            <w:r>
              <w:rPr>
                <w:rFonts w:eastAsia="Arial Unicode MS" w:cs="Calibri" w:ascii="Calibri" w:hAnsi="Calibri"/>
                <w:sz w:val="20"/>
                <w:szCs w:val="20"/>
                <w:lang w:bidi="el-GR"/>
              </w:rPr>
              <w:t xml:space="preserve">Συνολικό ύψος του προϋπολογισμένου ποσού που αφορά τις πάσης φύσεως νόμιμες αποδοχές για το σύνολο των εργαζομένων για  1 μήνα περίοδο παροχής υπηρεσιών </w:t>
            </w:r>
          </w:p>
          <w:p>
            <w:pPr>
              <w:pStyle w:val="Standard"/>
              <w:rPr>
                <w:rFonts w:ascii="Calibri" w:hAnsi="Calibri" w:eastAsia="Arial Unicode MS" w:cs="Calibri"/>
                <w:b/>
                <w:b/>
                <w:sz w:val="20"/>
                <w:szCs w:val="20"/>
                <w:lang w:bidi="el-GR"/>
              </w:rPr>
            </w:pPr>
            <w:r>
              <w:rPr>
                <w:rFonts w:eastAsia="Arial Unicode MS" w:cs="Calibri" w:ascii="Calibri" w:hAnsi="Calibri"/>
                <w:b/>
                <w:sz w:val="20"/>
                <w:szCs w:val="20"/>
                <w:lang w:bidi="el-GR"/>
              </w:rPr>
              <w:t>(Σύνολο: 7α + 7β + 7γ + 7δ + 7ε + 7στ + 7ζ + 7η)</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142" w:hRule="atLeast"/>
        </w:trPr>
        <w:tc>
          <w:tcPr>
            <w:tcW w:w="442" w:type="dxa"/>
            <w:vMerge w:val="restart"/>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8</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pPr>
            <w:r>
              <w:rPr>
                <w:rFonts w:eastAsia="Arial Unicode MS" w:cs="Calibri" w:ascii="Calibri" w:hAnsi="Calibri"/>
                <w:b/>
                <w:sz w:val="20"/>
                <w:szCs w:val="20"/>
                <w:lang w:bidi="el-GR"/>
              </w:rPr>
              <w:t>8α.</w:t>
            </w:r>
            <w:r>
              <w:rPr>
                <w:rFonts w:eastAsia="Arial Unicode MS" w:cs="Calibri" w:ascii="Calibri" w:hAnsi="Calibri"/>
                <w:sz w:val="20"/>
                <w:szCs w:val="20"/>
                <w:lang w:bidi="el-GR"/>
              </w:rPr>
              <w:t xml:space="preserve"> Ασφαλιστικές εισφορές με βάση τα προϋπολογισθέντα ποσά για το σύνολο των εργαζομένων για 1 μήνα περίοδο παροχής υπηρεσιών</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142" w:hRule="atLeast"/>
        </w:trPr>
        <w:tc>
          <w:tcPr>
            <w:tcW w:w="44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pPr>
            <w:r>
              <w:rPr>
                <w:rFonts w:eastAsia="Arial Unicode MS" w:cs="Calibri" w:ascii="Calibri" w:hAnsi="Calibri"/>
                <w:b/>
                <w:sz w:val="20"/>
                <w:szCs w:val="20"/>
                <w:lang w:bidi="el-GR"/>
              </w:rPr>
              <w:t xml:space="preserve">8β. </w:t>
            </w:r>
            <w:r>
              <w:rPr>
                <w:rFonts w:eastAsia="Arial Unicode MS" w:cs="Calibri" w:ascii="Calibri" w:hAnsi="Calibri"/>
                <w:sz w:val="20"/>
                <w:szCs w:val="20"/>
                <w:lang w:bidi="el-GR"/>
              </w:rPr>
              <w:t>Εισφορές υπέρ ΕΛΠΚ (Ειδικού Λογ/σμού Παιδικών Κατασκηνώσεων) (αναλογία ανά μήνα)</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142" w:hRule="atLeast"/>
        </w:trPr>
        <w:tc>
          <w:tcPr>
            <w:tcW w:w="44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suppressAutoHyphens w:val="true"/>
              <w:bidi w:val="0"/>
              <w:spacing w:before="0" w:after="120"/>
              <w:jc w:val="both"/>
              <w:rPr/>
            </w:pPr>
            <w:r>
              <w:rPr/>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pPr>
            <w:r>
              <w:rPr>
                <w:rFonts w:eastAsia="Arial Unicode MS" w:cs="Calibri" w:ascii="Calibri" w:hAnsi="Calibri"/>
                <w:sz w:val="20"/>
                <w:szCs w:val="20"/>
                <w:lang w:bidi="el-GR"/>
              </w:rPr>
              <w:t xml:space="preserve">Συνολικό ύψος ασφαλιστικών εισφορών με βάση τα προϋπολογισθέντα ποσά για το σύνολο των εργαζομένων για 1 μήνα περίοδο παροχής υπηρεσιών </w:t>
            </w:r>
            <w:r>
              <w:rPr>
                <w:rFonts w:eastAsia="Arial Unicode MS" w:cs="Calibri" w:ascii="Calibri" w:hAnsi="Calibri"/>
                <w:b/>
                <w:sz w:val="20"/>
                <w:szCs w:val="20"/>
                <w:lang w:bidi="el-GR"/>
              </w:rPr>
              <w:t>(Σύνολο: 8α + 8β)</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color w:val="FF0000"/>
                <w:sz w:val="20"/>
              </w:rPr>
            </w:pPr>
            <w:r>
              <w:rPr>
                <w:rFonts w:cs="Tahoma" w:ascii="Tahoma" w:hAnsi="Tahoma"/>
                <w:b/>
                <w:color w:val="FF0000"/>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color w:val="FF0000"/>
                <w:sz w:val="20"/>
              </w:rPr>
            </w:pPr>
            <w:r>
              <w:rPr>
                <w:rFonts w:cs="Tahoma" w:ascii="Tahoma" w:hAnsi="Tahoma"/>
                <w:b/>
                <w:color w:val="FF0000"/>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color w:val="FF0000"/>
                <w:sz w:val="20"/>
              </w:rPr>
            </w:pPr>
            <w:r>
              <w:rPr>
                <w:rFonts w:cs="Tahoma" w:ascii="Tahoma" w:hAnsi="Tahoma"/>
                <w:b/>
                <w:color w:val="FF0000"/>
                <w:sz w:val="20"/>
              </w:rPr>
            </w:r>
          </w:p>
        </w:tc>
      </w:tr>
      <w:tr>
        <w:trPr>
          <w:trHeight w:val="412" w:hRule="atLeast"/>
        </w:trPr>
        <w:tc>
          <w:tcPr>
            <w:tcW w:w="6961" w:type="dxa"/>
            <w:gridSpan w:val="2"/>
            <w:tcBorders>
              <w:top w:val="single" w:sz="4" w:space="0" w:color="000000"/>
              <w:left w:val="single" w:sz="4" w:space="0" w:color="000000"/>
              <w:bottom w:val="single" w:sz="4" w:space="0" w:color="000000"/>
            </w:tcBorders>
            <w:shd w:color="auto" w:fill="D9D9D9" w:val="clear"/>
            <w:vAlign w:val="center"/>
          </w:tcPr>
          <w:p>
            <w:pPr>
              <w:pStyle w:val="Standard"/>
              <w:rPr>
                <w:rFonts w:ascii="Calibri" w:hAnsi="Calibri" w:eastAsia="Arial Unicode MS" w:cs="Calibri"/>
                <w:b/>
                <w:b/>
                <w:sz w:val="20"/>
                <w:szCs w:val="20"/>
                <w:lang w:bidi="el-GR"/>
              </w:rPr>
            </w:pPr>
            <w:r>
              <w:rPr>
                <w:rFonts w:eastAsia="Arial Unicode MS" w:cs="Calibri" w:ascii="Calibri" w:hAnsi="Calibri"/>
                <w:b/>
                <w:sz w:val="20"/>
                <w:szCs w:val="20"/>
                <w:lang w:bidi="el-GR"/>
              </w:rPr>
              <w:t>ΚΕΦΑΛΑΙΟ Δ. ΛΟΙΠΑ ΚΟΣΤΗ</w:t>
            </w:r>
          </w:p>
        </w:tc>
        <w:tc>
          <w:tcPr>
            <w:tcW w:w="3190" w:type="dxa"/>
            <w:tcBorders>
              <w:top w:val="single" w:sz="4" w:space="0" w:color="000000"/>
              <w:left w:val="single" w:sz="4" w:space="0" w:color="000000"/>
              <w:bottom w:val="single" w:sz="4" w:space="0" w:color="000000"/>
            </w:tcBorders>
            <w:shd w:color="auto" w:fill="D9D9D9"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D9D9D9"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281"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9</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Calibri" w:hAnsi="Calibri" w:eastAsia="Arial Unicode MS" w:cs="Calibri"/>
                <w:sz w:val="20"/>
                <w:szCs w:val="20"/>
                <w:lang w:bidi="el-GR"/>
              </w:rPr>
            </w:pPr>
            <w:r>
              <w:rPr>
                <w:rFonts w:eastAsia="Arial Unicode MS" w:cs="Calibri" w:ascii="Calibri" w:hAnsi="Calibri"/>
                <w:sz w:val="20"/>
                <w:szCs w:val="20"/>
                <w:lang w:bidi="el-GR"/>
              </w:rPr>
              <w:t>Κόστος αναλωσίμων (μηνιαίο)</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288"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10</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Calibri" w:hAnsi="Calibri" w:eastAsia="Arial Unicode MS" w:cs="Calibri"/>
                <w:sz w:val="20"/>
                <w:szCs w:val="20"/>
                <w:lang w:bidi="el-GR"/>
              </w:rPr>
            </w:pPr>
            <w:r>
              <w:rPr>
                <w:rFonts w:eastAsia="Arial Unicode MS" w:cs="Calibri" w:ascii="Calibri" w:hAnsi="Calibri"/>
                <w:sz w:val="20"/>
                <w:szCs w:val="20"/>
                <w:lang w:bidi="el-GR"/>
              </w:rPr>
              <w:t>Διοικητικό κόστος παροχής υπηρεσιών (μηνιαίο)</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sz w:val="20"/>
              </w:rPr>
            </w:pPr>
            <w:r>
              <w:rPr>
                <w:rFonts w:cs="Tahoma" w:ascii="Tahoma" w:hAnsi="Tahoma"/>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sz w:val="20"/>
              </w:rPr>
            </w:pPr>
            <w:r>
              <w:rPr>
                <w:rFonts w:cs="Tahoma" w:ascii="Tahoma" w:hAnsi="Tahoma"/>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sz w:val="20"/>
              </w:rPr>
            </w:pPr>
            <w:r>
              <w:rPr>
                <w:rFonts w:cs="Tahoma" w:ascii="Tahoma" w:hAnsi="Tahoma"/>
                <w:sz w:val="20"/>
              </w:rPr>
            </w:r>
          </w:p>
        </w:tc>
      </w:tr>
      <w:tr>
        <w:trPr>
          <w:trHeight w:val="293"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11</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Calibri" w:hAnsi="Calibri" w:eastAsia="Arial Unicode MS" w:cs="Calibri"/>
                <w:sz w:val="20"/>
                <w:szCs w:val="20"/>
                <w:lang w:bidi="el-GR"/>
              </w:rPr>
            </w:pPr>
            <w:r>
              <w:rPr>
                <w:rFonts w:eastAsia="Arial Unicode MS" w:cs="Calibri" w:ascii="Calibri" w:hAnsi="Calibri"/>
                <w:sz w:val="20"/>
                <w:szCs w:val="20"/>
                <w:lang w:bidi="el-GR"/>
              </w:rPr>
              <w:t>Εργολαβικό κέρδος (μηνιαίο)</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404" w:hRule="atLeast"/>
        </w:trPr>
        <w:tc>
          <w:tcPr>
            <w:tcW w:w="6961" w:type="dxa"/>
            <w:gridSpan w:val="2"/>
            <w:tcBorders>
              <w:top w:val="single" w:sz="4" w:space="0" w:color="000000"/>
              <w:left w:val="single" w:sz="4" w:space="0" w:color="000000"/>
              <w:bottom w:val="single" w:sz="4" w:space="0" w:color="000000"/>
            </w:tcBorders>
            <w:shd w:color="auto" w:fill="D9D9D9" w:val="clear"/>
            <w:vAlign w:val="center"/>
          </w:tcPr>
          <w:p>
            <w:pPr>
              <w:pStyle w:val="Standard"/>
              <w:rPr>
                <w:rFonts w:ascii="Calibri" w:hAnsi="Calibri" w:eastAsia="Arial Unicode MS" w:cs="Calibri"/>
                <w:b/>
                <w:b/>
                <w:sz w:val="20"/>
                <w:szCs w:val="20"/>
                <w:lang w:bidi="el-GR"/>
              </w:rPr>
            </w:pPr>
            <w:r>
              <w:rPr>
                <w:rFonts w:eastAsia="Arial Unicode MS" w:cs="Calibri" w:ascii="Calibri" w:hAnsi="Calibri"/>
                <w:b/>
                <w:sz w:val="20"/>
                <w:szCs w:val="20"/>
                <w:lang w:bidi="el-GR"/>
              </w:rPr>
              <w:t>ΚΕΦΑΛΑΙΟ Ε. ΝΟΜΙΜΕΣ ΥΠΕΡ ΔΗΜΟΣΙΟΥ ΚΑΙ ΤΡΙΤΩΝ ΚΡΑΤΗΣΕΙΣ</w:t>
            </w:r>
          </w:p>
        </w:tc>
        <w:tc>
          <w:tcPr>
            <w:tcW w:w="3190" w:type="dxa"/>
            <w:tcBorders>
              <w:top w:val="single" w:sz="4" w:space="0" w:color="000000"/>
              <w:left w:val="single" w:sz="4" w:space="0" w:color="000000"/>
              <w:bottom w:val="single" w:sz="4" w:space="0" w:color="000000"/>
            </w:tcBorders>
            <w:shd w:color="auto" w:fill="D9D9D9"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D9D9D9"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320"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12</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Calibri" w:hAnsi="Calibri" w:eastAsia="Arial Unicode MS" w:cs="Calibri"/>
                <w:sz w:val="20"/>
                <w:szCs w:val="20"/>
                <w:lang w:bidi="el-GR"/>
              </w:rPr>
            </w:pPr>
            <w:r>
              <w:rPr>
                <w:rFonts w:eastAsia="Arial Unicode MS" w:cs="Calibri" w:ascii="Calibri" w:hAnsi="Calibri"/>
                <w:sz w:val="20"/>
                <w:szCs w:val="20"/>
                <w:lang w:bidi="el-GR"/>
              </w:rPr>
              <w:t>Παρακράτηση φόρου εισοδήματος 8% (ν.4172/2013)</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465"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13</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pPr>
            <w:r>
              <w:rPr>
                <w:rFonts w:eastAsia="Arial Unicode MS" w:cs="Calibri" w:ascii="Calibri" w:hAnsi="Calibri"/>
                <w:sz w:val="20"/>
                <w:szCs w:val="20"/>
                <w:lang w:bidi="el-GR"/>
              </w:rPr>
              <w:t>Κρατήσεις υπέρ τρίτων (</w:t>
            </w:r>
            <w:r>
              <w:rPr>
                <w:rFonts w:eastAsia="Arial Unicode MS" w:cs="Calibri" w:ascii="Calibri" w:hAnsi="Calibri"/>
                <w:color w:val="000000"/>
                <w:sz w:val="20"/>
                <w:szCs w:val="20"/>
                <w:lang w:bidi="el-GR"/>
              </w:rPr>
              <w:t xml:space="preserve">0,1% υπέρ </w:t>
            </w:r>
            <w:r>
              <w:rPr>
                <w:rFonts w:eastAsia="Arial Unicode MS" w:cs="Calibri" w:ascii="Calibri" w:hAnsi="Calibri"/>
                <w:color w:val="000000"/>
                <w:sz w:val="20"/>
                <w:szCs w:val="20"/>
                <w:highlight w:val="white"/>
                <w:lang w:bidi="el-GR"/>
              </w:rPr>
              <w:t>Ε.Α.ΔΗ.ΣΥ.</w:t>
            </w:r>
            <w:r>
              <w:rPr>
                <w:rFonts w:eastAsia="Arial Unicode MS" w:cs="Calibri" w:ascii="Calibri" w:hAnsi="Calibri"/>
                <w:color w:val="000000"/>
                <w:sz w:val="20"/>
                <w:szCs w:val="20"/>
                <w:lang w:bidi="el-GR"/>
              </w:rPr>
              <w:t>, 0,02% υπέρ της ανάπτυξης και συντήρησης του ΟΠΣ ΕΣΗΔΗΣ, επ’ αυτών τέλος χαρτοσήμου 3% και επ’ αυτού εισφορά υπέρ ΟΓΑ 20%)</w:t>
            </w:r>
          </w:p>
        </w:tc>
        <w:tc>
          <w:tcPr>
            <w:tcW w:w="3190"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i/>
                <w:i/>
                <w:color w:val="00B050"/>
                <w:sz w:val="20"/>
                <w:szCs w:val="18"/>
              </w:rPr>
            </w:pPr>
            <w:r>
              <w:rPr>
                <w:rFonts w:cs="Tahoma" w:ascii="Tahoma" w:hAnsi="Tahoma"/>
                <w:b/>
                <w:i/>
                <w:color w:val="00B050"/>
                <w:sz w:val="20"/>
                <w:szCs w:val="18"/>
              </w:rPr>
            </w:r>
          </w:p>
        </w:tc>
        <w:tc>
          <w:tcPr>
            <w:tcW w:w="2597"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i/>
                <w:i/>
                <w:color w:val="00B050"/>
                <w:sz w:val="20"/>
                <w:szCs w:val="18"/>
              </w:rPr>
            </w:pPr>
            <w:r>
              <w:rPr>
                <w:rFonts w:cs="Tahoma" w:ascii="Tahoma" w:hAnsi="Tahoma"/>
                <w:b/>
                <w:i/>
                <w:color w:val="00B050"/>
                <w:sz w:val="20"/>
                <w:szCs w:val="18"/>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jc w:val="center"/>
              <w:rPr>
                <w:rFonts w:ascii="Tahoma" w:hAnsi="Tahoma" w:cs="Tahoma"/>
                <w:b/>
                <w:b/>
                <w:i/>
                <w:i/>
                <w:color w:val="00B050"/>
                <w:sz w:val="20"/>
                <w:szCs w:val="18"/>
              </w:rPr>
            </w:pPr>
            <w:r>
              <w:rPr>
                <w:rFonts w:cs="Tahoma" w:ascii="Tahoma" w:hAnsi="Tahoma"/>
                <w:b/>
                <w:i/>
                <w:color w:val="00B050"/>
                <w:sz w:val="20"/>
                <w:szCs w:val="18"/>
              </w:rPr>
            </w:r>
          </w:p>
        </w:tc>
      </w:tr>
      <w:tr>
        <w:trPr>
          <w:trHeight w:val="416"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Calibri" w:hAnsi="Calibri" w:eastAsia="Arial Unicode MS" w:cs="Calibri"/>
                <w:b/>
                <w:b/>
                <w:sz w:val="20"/>
                <w:szCs w:val="20"/>
                <w:lang w:bidi="el-GR"/>
              </w:rPr>
            </w:pPr>
            <w:r>
              <w:rPr>
                <w:rFonts w:eastAsia="Arial Unicode MS" w:cs="Calibri" w:ascii="Calibri" w:hAnsi="Calibri"/>
                <w:b/>
                <w:sz w:val="20"/>
                <w:szCs w:val="20"/>
                <w:lang w:bidi="el-GR"/>
              </w:rPr>
              <w:t>14</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Calibri" w:hAnsi="Calibri" w:eastAsia="Arial Unicode MS" w:cs="Calibri"/>
                <w:sz w:val="20"/>
                <w:szCs w:val="20"/>
                <w:lang w:bidi="el-GR"/>
              </w:rPr>
            </w:pPr>
            <w:r>
              <w:rPr>
                <w:rFonts w:eastAsia="Arial Unicode MS" w:cs="Calibri" w:ascii="Calibri" w:hAnsi="Calibri"/>
                <w:sz w:val="20"/>
                <w:szCs w:val="20"/>
                <w:lang w:bidi="el-GR"/>
              </w:rPr>
              <w:t xml:space="preserve">Σύνολο νομίμων υπέρ Δημοσίου και τρίτων κρατήσεων </w:t>
            </w:r>
          </w:p>
          <w:p>
            <w:pPr>
              <w:pStyle w:val="Standard"/>
              <w:spacing w:before="0" w:after="0"/>
              <w:rPr>
                <w:rFonts w:ascii="Calibri" w:hAnsi="Calibri" w:eastAsia="Arial Unicode MS" w:cs="Calibri"/>
                <w:b/>
                <w:b/>
                <w:sz w:val="20"/>
                <w:szCs w:val="20"/>
                <w:lang w:bidi="el-GR"/>
              </w:rPr>
            </w:pPr>
            <w:r>
              <w:rPr>
                <w:rFonts w:eastAsia="Arial Unicode MS" w:cs="Calibri" w:ascii="Calibri" w:hAnsi="Calibri"/>
                <w:b/>
                <w:sz w:val="20"/>
                <w:szCs w:val="20"/>
                <w:lang w:bidi="el-GR"/>
              </w:rPr>
              <w:t>(Σύνολο: 12 + 13)</w:t>
            </w:r>
          </w:p>
        </w:tc>
        <w:tc>
          <w:tcPr>
            <w:tcW w:w="3190"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i/>
                <w:i/>
                <w:color w:val="00B050"/>
                <w:sz w:val="20"/>
              </w:rPr>
            </w:pPr>
            <w:r>
              <w:rPr>
                <w:rFonts w:cs="Tahoma" w:ascii="Tahoma" w:hAnsi="Tahoma"/>
                <w:b/>
                <w:i/>
                <w:color w:val="00B050"/>
                <w:sz w:val="20"/>
              </w:rPr>
            </w:r>
          </w:p>
        </w:tc>
        <w:tc>
          <w:tcPr>
            <w:tcW w:w="2597"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i/>
                <w:i/>
                <w:color w:val="00B050"/>
                <w:sz w:val="20"/>
              </w:rPr>
            </w:pPr>
            <w:r>
              <w:rPr>
                <w:rFonts w:cs="Tahoma" w:ascii="Tahoma" w:hAnsi="Tahoma"/>
                <w:b/>
                <w:i/>
                <w:color w:val="00B050"/>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jc w:val="center"/>
              <w:rPr>
                <w:rFonts w:ascii="Tahoma" w:hAnsi="Tahoma" w:cs="Tahoma"/>
                <w:b/>
                <w:b/>
                <w:i/>
                <w:i/>
                <w:color w:val="00B050"/>
                <w:sz w:val="20"/>
              </w:rPr>
            </w:pPr>
            <w:r>
              <w:rPr>
                <w:rFonts w:cs="Tahoma" w:ascii="Tahoma" w:hAnsi="Tahoma"/>
                <w:b/>
                <w:i/>
                <w:color w:val="00B050"/>
                <w:sz w:val="20"/>
              </w:rPr>
            </w:r>
          </w:p>
        </w:tc>
      </w:tr>
      <w:tr>
        <w:trPr>
          <w:trHeight w:val="404" w:hRule="atLeast"/>
        </w:trPr>
        <w:tc>
          <w:tcPr>
            <w:tcW w:w="6961" w:type="dxa"/>
            <w:gridSpan w:val="2"/>
            <w:tcBorders>
              <w:top w:val="single" w:sz="4" w:space="0" w:color="000000"/>
              <w:left w:val="single" w:sz="4" w:space="0" w:color="000000"/>
              <w:bottom w:val="single" w:sz="4" w:space="0" w:color="000000"/>
            </w:tcBorders>
            <w:shd w:color="auto" w:fill="D9D9D9" w:val="clear"/>
            <w:vAlign w:val="center"/>
          </w:tcPr>
          <w:p>
            <w:pPr>
              <w:pStyle w:val="Standard"/>
              <w:rPr>
                <w:rFonts w:ascii="Tahoma" w:hAnsi="Tahoma" w:cs="Tahoma"/>
                <w:b/>
                <w:b/>
                <w:sz w:val="20"/>
              </w:rPr>
            </w:pPr>
            <w:r>
              <w:rPr>
                <w:rFonts w:cs="Tahoma" w:ascii="Tahoma" w:hAnsi="Tahoma"/>
                <w:b/>
                <w:sz w:val="20"/>
              </w:rPr>
              <w:t>ΚΕΦΑΛΑΙΟ ΣΤ. ΣΥΝΟΛΙΚΟ ΚΟΣΤΟΣ</w:t>
            </w:r>
          </w:p>
        </w:tc>
        <w:tc>
          <w:tcPr>
            <w:tcW w:w="3190" w:type="dxa"/>
            <w:tcBorders>
              <w:top w:val="single" w:sz="4" w:space="0" w:color="000000"/>
              <w:left w:val="single" w:sz="4" w:space="0" w:color="000000"/>
              <w:bottom w:val="single" w:sz="4" w:space="0" w:color="000000"/>
            </w:tcBorders>
            <w:shd w:color="auto" w:fill="D9D9D9"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D9D9D9" w:val="clear"/>
            <w:vAlign w:val="center"/>
          </w:tcPr>
          <w:p>
            <w:pPr>
              <w:pStyle w:val="Standard"/>
              <w:snapToGrid w:val="false"/>
              <w:spacing w:lineRule="auto" w:line="360"/>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snapToGrid w:val="false"/>
              <w:spacing w:lineRule="auto" w:line="360"/>
              <w:rPr>
                <w:rFonts w:ascii="Tahoma" w:hAnsi="Tahoma" w:cs="Tahoma"/>
                <w:b/>
                <w:b/>
                <w:sz w:val="20"/>
              </w:rPr>
            </w:pPr>
            <w:r>
              <w:rPr>
                <w:rFonts w:cs="Tahoma" w:ascii="Tahoma" w:hAnsi="Tahoma"/>
                <w:b/>
                <w:sz w:val="20"/>
              </w:rPr>
            </w:r>
          </w:p>
        </w:tc>
      </w:tr>
      <w:tr>
        <w:trPr>
          <w:trHeight w:val="543"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Tahoma" w:hAnsi="Tahoma" w:cs="Tahoma"/>
                <w:b/>
                <w:b/>
                <w:sz w:val="20"/>
              </w:rPr>
            </w:pPr>
            <w:r>
              <w:rPr>
                <w:rFonts w:cs="Tahoma" w:ascii="Tahoma" w:hAnsi="Tahoma"/>
                <w:b/>
                <w:sz w:val="20"/>
              </w:rPr>
              <w:t>15</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Tahoma" w:hAnsi="Tahoma" w:cs="Tahoma"/>
                <w:sz w:val="20"/>
              </w:rPr>
            </w:pPr>
            <w:r>
              <w:rPr>
                <w:rFonts w:cs="Tahoma" w:ascii="Tahoma" w:hAnsi="Tahoma"/>
                <w:sz w:val="20"/>
              </w:rPr>
              <w:t xml:space="preserve">ΣΥΝΟΛΙΚΟ ΚΟΣΤΟΣ ΑΝΕΥ ΦΠΑ ΓΙΑ ΕΝΑ (1) ΜΗΝΑ ΠΑΡΟΧΗ ΥΠΗΡΕΣΙΩΝ (Αριθμητικώς και ολογράφως) </w:t>
            </w:r>
          </w:p>
        </w:tc>
        <w:tc>
          <w:tcPr>
            <w:tcW w:w="3190"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r>
      <w:tr>
        <w:trPr>
          <w:trHeight w:val="302"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Tahoma" w:hAnsi="Tahoma" w:cs="Tahoma"/>
                <w:b/>
                <w:b/>
                <w:sz w:val="20"/>
              </w:rPr>
            </w:pPr>
            <w:r>
              <w:rPr>
                <w:rFonts w:cs="Tahoma" w:ascii="Tahoma" w:hAnsi="Tahoma"/>
                <w:b/>
                <w:sz w:val="20"/>
              </w:rPr>
              <w:t>16</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Tahoma" w:hAnsi="Tahoma" w:cs="Tahoma"/>
                <w:sz w:val="20"/>
              </w:rPr>
            </w:pPr>
            <w:r>
              <w:rPr>
                <w:rFonts w:cs="Tahoma" w:ascii="Tahoma" w:hAnsi="Tahoma"/>
                <w:sz w:val="20"/>
              </w:rPr>
              <w:t>ΦΠΑ ………..%</w:t>
            </w:r>
          </w:p>
        </w:tc>
        <w:tc>
          <w:tcPr>
            <w:tcW w:w="3190"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r>
      <w:tr>
        <w:trPr>
          <w:trHeight w:val="670"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Tahoma" w:hAnsi="Tahoma" w:cs="Tahoma"/>
                <w:b/>
                <w:b/>
                <w:sz w:val="20"/>
              </w:rPr>
            </w:pPr>
            <w:r>
              <w:rPr>
                <w:rFonts w:cs="Tahoma" w:ascii="Tahoma" w:hAnsi="Tahoma"/>
                <w:b/>
                <w:sz w:val="20"/>
              </w:rPr>
              <w:t>17</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Tahoma" w:hAnsi="Tahoma" w:cs="Tahoma"/>
                <w:sz w:val="20"/>
              </w:rPr>
            </w:pPr>
            <w:r>
              <w:rPr>
                <w:rFonts w:cs="Tahoma" w:ascii="Tahoma" w:hAnsi="Tahoma"/>
                <w:sz w:val="20"/>
              </w:rPr>
              <w:t>ΣΥΝΟΛΙΚΟ ΚΟΣΤΟΣ ΜΕ ΦΠΑ ΓΙΑ ΕΝΑ (1) ΜΗΝΑ ΠΑΡΟΧΗ ΥΠΗΡΕΣΙΩΝ (Αριθμητικώς και ολογράφως)</w:t>
            </w:r>
          </w:p>
        </w:tc>
        <w:tc>
          <w:tcPr>
            <w:tcW w:w="3190"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r>
      <w:tr>
        <w:trPr>
          <w:trHeight w:val="690"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Tahoma" w:hAnsi="Tahoma" w:cs="Tahoma"/>
                <w:b/>
                <w:b/>
                <w:sz w:val="20"/>
              </w:rPr>
            </w:pPr>
            <w:r>
              <w:rPr>
                <w:rFonts w:cs="Tahoma" w:ascii="Tahoma" w:hAnsi="Tahoma"/>
                <w:b/>
                <w:sz w:val="20"/>
              </w:rPr>
              <w:t>18</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Tahoma" w:hAnsi="Tahoma" w:cs="Tahoma"/>
                <w:sz w:val="20"/>
              </w:rPr>
            </w:pPr>
            <w:r>
              <w:rPr>
                <w:rFonts w:cs="Tahoma" w:ascii="Tahoma" w:hAnsi="Tahoma"/>
                <w:sz w:val="20"/>
              </w:rPr>
              <w:t>ΣΥΝΟΛΙΚΟ ΚΟΣΤΟΣ ΑΝΕΥ ΦΠΑ ΓΙΑ ΕΙΚΟΣΙ ΤΕΣΣΕΡΙΣ (24) ΜΗΝΕΣ ΠΑΡΟΧΗ ΥΠΗΡΕΣΙΩΝ (Αριθμητικώς και ολογράφως)</w:t>
            </w:r>
          </w:p>
        </w:tc>
        <w:tc>
          <w:tcPr>
            <w:tcW w:w="3190"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r>
      <w:tr>
        <w:trPr>
          <w:trHeight w:val="313"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Tahoma" w:hAnsi="Tahoma" w:cs="Tahoma"/>
                <w:b/>
                <w:b/>
                <w:sz w:val="20"/>
              </w:rPr>
            </w:pPr>
            <w:r>
              <w:rPr>
                <w:rFonts w:cs="Tahoma" w:ascii="Tahoma" w:hAnsi="Tahoma"/>
                <w:b/>
                <w:sz w:val="20"/>
              </w:rPr>
              <w:t>19</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Tahoma" w:hAnsi="Tahoma" w:cs="Tahoma"/>
                <w:sz w:val="20"/>
              </w:rPr>
            </w:pPr>
            <w:r>
              <w:rPr>
                <w:rFonts w:cs="Tahoma" w:ascii="Tahoma" w:hAnsi="Tahoma"/>
                <w:sz w:val="20"/>
              </w:rPr>
              <w:t xml:space="preserve">ΦΠΑ ……..%  </w:t>
            </w:r>
          </w:p>
        </w:tc>
        <w:tc>
          <w:tcPr>
            <w:tcW w:w="3190" w:type="dxa"/>
            <w:tcBorders>
              <w:top w:val="single" w:sz="4" w:space="0" w:color="000000"/>
              <w:left w:val="single" w:sz="4" w:space="0" w:color="000000"/>
              <w:bottom w:val="single" w:sz="4" w:space="0" w:color="000000"/>
            </w:tcBorders>
            <w:shd w:color="auto" w:fill="auto" w:val="clear"/>
            <w:vAlign w:val="center"/>
          </w:tcPr>
          <w:p>
            <w:pPr>
              <w:pStyle w:val="Standard"/>
              <w:snapToGrid w:val="false"/>
              <w:rPr>
                <w:rFonts w:ascii="Tahoma" w:hAnsi="Tahoma" w:cs="Tahoma"/>
                <w:sz w:val="20"/>
              </w:rPr>
            </w:pPr>
            <w:r>
              <w:rPr>
                <w:rFonts w:cs="Tahoma" w:ascii="Tahoma" w:hAnsi="Tahoma"/>
                <w:sz w:val="20"/>
              </w:rPr>
            </w:r>
          </w:p>
        </w:tc>
        <w:tc>
          <w:tcPr>
            <w:tcW w:w="2597" w:type="dxa"/>
            <w:tcBorders>
              <w:top w:val="single" w:sz="4" w:space="0" w:color="000000"/>
              <w:left w:val="single" w:sz="4" w:space="0" w:color="000000"/>
              <w:bottom w:val="single" w:sz="4" w:space="0" w:color="000000"/>
            </w:tcBorders>
            <w:shd w:color="auto" w:fill="auto" w:val="clear"/>
            <w:vAlign w:val="center"/>
          </w:tcPr>
          <w:p>
            <w:pPr>
              <w:pStyle w:val="Standard"/>
              <w:snapToGrid w:val="false"/>
              <w:rPr>
                <w:rFonts w:ascii="Tahoma" w:hAnsi="Tahoma" w:cs="Tahoma"/>
                <w:sz w:val="20"/>
              </w:rPr>
            </w:pPr>
            <w:r>
              <w:rPr>
                <w:rFonts w:cs="Tahoma" w:ascii="Tahoma" w:hAnsi="Tahoma"/>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rPr>
                <w:rFonts w:ascii="Tahoma" w:hAnsi="Tahoma" w:cs="Tahoma"/>
                <w:sz w:val="20"/>
              </w:rPr>
            </w:pPr>
            <w:r>
              <w:rPr>
                <w:rFonts w:cs="Tahoma" w:ascii="Tahoma" w:hAnsi="Tahoma"/>
                <w:sz w:val="20"/>
              </w:rPr>
            </w:r>
          </w:p>
        </w:tc>
      </w:tr>
      <w:tr>
        <w:trPr>
          <w:trHeight w:val="376" w:hRule="atLeast"/>
        </w:trPr>
        <w:tc>
          <w:tcPr>
            <w:tcW w:w="442"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360"/>
              <w:jc w:val="center"/>
              <w:rPr>
                <w:rFonts w:ascii="Tahoma" w:hAnsi="Tahoma" w:cs="Tahoma"/>
                <w:b/>
                <w:b/>
                <w:sz w:val="20"/>
              </w:rPr>
            </w:pPr>
            <w:r>
              <w:rPr>
                <w:rFonts w:cs="Tahoma" w:ascii="Tahoma" w:hAnsi="Tahoma"/>
                <w:b/>
                <w:sz w:val="20"/>
              </w:rPr>
              <w:t>20</w:t>
            </w:r>
          </w:p>
        </w:tc>
        <w:tc>
          <w:tcPr>
            <w:tcW w:w="6519" w:type="dxa"/>
            <w:tcBorders>
              <w:top w:val="single" w:sz="4" w:space="0" w:color="000000"/>
              <w:left w:val="single" w:sz="4" w:space="0" w:color="000000"/>
              <w:bottom w:val="single" w:sz="4" w:space="0" w:color="000000"/>
            </w:tcBorders>
            <w:shd w:color="auto" w:fill="auto" w:val="clear"/>
            <w:vAlign w:val="center"/>
          </w:tcPr>
          <w:p>
            <w:pPr>
              <w:pStyle w:val="Standard"/>
              <w:rPr>
                <w:rFonts w:ascii="Tahoma" w:hAnsi="Tahoma" w:cs="Tahoma"/>
                <w:sz w:val="20"/>
              </w:rPr>
            </w:pPr>
            <w:r>
              <w:rPr>
                <w:rFonts w:cs="Tahoma" w:ascii="Tahoma" w:hAnsi="Tahoma"/>
                <w:sz w:val="20"/>
              </w:rPr>
              <w:t>ΣΥΝΟΛΙΚΟ ΚΟΣΤΟΣ ΜΕ ΦΠΑ ΓΙΑ ΕΙΚΟΣΙ ΤΕΣΣΕΡΙΣ (24) ΜΗΝΕΣ ΠΑΡΟΧΗ ΥΠΗΡΕΣΙΩΝ (Αριθμητικώς και ολογράφως)</w:t>
            </w:r>
          </w:p>
        </w:tc>
        <w:tc>
          <w:tcPr>
            <w:tcW w:w="3190"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c>
          <w:tcPr>
            <w:tcW w:w="2597"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360"/>
              <w:jc w:val="center"/>
              <w:rPr>
                <w:rFonts w:ascii="Tahoma" w:hAnsi="Tahoma" w:cs="Tahoma"/>
                <w:b/>
                <w:b/>
                <w:sz w:val="20"/>
              </w:rPr>
            </w:pPr>
            <w:r>
              <w:rPr>
                <w:rFonts w:cs="Tahoma" w:ascii="Tahoma" w:hAnsi="Tahoma"/>
                <w:b/>
                <w:sz w:val="20"/>
              </w:rPr>
            </w:r>
          </w:p>
        </w:tc>
      </w:tr>
    </w:tbl>
    <w:p>
      <w:pPr>
        <w:pStyle w:val="Standard"/>
        <w:rPr>
          <w:b/>
          <w:b/>
          <w:u w:val="single"/>
        </w:rPr>
      </w:pPr>
      <w:r>
        <w:rPr>
          <w:b/>
          <w:u w:val="single"/>
        </w:rPr>
      </w:r>
    </w:p>
    <w:p>
      <w:pPr>
        <w:sectPr>
          <w:headerReference w:type="default" r:id="rId51"/>
          <w:footerReference w:type="default" r:id="rId52"/>
          <w:footnotePr>
            <w:numFmt w:val="decimal"/>
          </w:footnotePr>
          <w:type w:val="nextPage"/>
          <w:pgSz w:orient="landscape" w:w="16838" w:h="11906"/>
          <w:pgMar w:left="1440" w:right="992" w:header="720" w:top="1135" w:footer="720" w:bottom="1134" w:gutter="0"/>
          <w:pgNumType w:fmt="decimal"/>
          <w:formProt w:val="false"/>
          <w:textDirection w:val="lrTb"/>
          <w:docGrid w:type="default" w:linePitch="299" w:charSpace="4096"/>
        </w:sectPr>
        <w:pStyle w:val="Western"/>
        <w:tabs>
          <w:tab w:val="clear" w:pos="720"/>
          <w:tab w:val="left" w:pos="284" w:leader="none"/>
          <w:tab w:val="left" w:pos="2880" w:leader="none"/>
        </w:tabs>
        <w:spacing w:lineRule="auto" w:line="276" w:before="52" w:after="0"/>
        <w:jc w:val="center"/>
        <w:rPr/>
      </w:pPr>
      <w:r>
        <w:rPr>
          <w:rFonts w:eastAsia="Arial Unicode MS" w:cs="Calibri" w:ascii="Calibri" w:hAnsi="Calibri"/>
          <w:b/>
          <w:color w:val="000000"/>
          <w:kern w:val="2"/>
          <w:sz w:val="20"/>
          <w:szCs w:val="20"/>
          <w:lang w:val="el-GR" w:bidi="el-GR"/>
        </w:rPr>
        <w:t>Απαραίτητα και με ποινή αποκλεισμού από την περαιτέρω αξιολόγηση, οι υποψήφιοι Ανάδοχοι πρέπει στην προσφορά τους να καταθέσουν το παρόν έντυπο, στο οποίο θα απαντούν τεκμηριωμένα</w:t>
      </w:r>
      <w:r>
        <w:rPr>
          <w:rStyle w:val="Style14"/>
          <w:rStyle w:val="Style14"/>
          <w:rFonts w:eastAsia="Arial Unicode MS" w:cs="Calibri" w:ascii="Calibri" w:hAnsi="Calibri"/>
          <w:b/>
          <w:color w:val="000000"/>
          <w:kern w:val="2"/>
          <w:sz w:val="24"/>
          <w:szCs w:val="20"/>
          <w:lang w:val="el-GR" w:bidi="el-GR"/>
        </w:rPr>
        <w:footnoteReference w:id="91"/>
      </w:r>
      <w:r>
        <w:rPr>
          <w:rFonts w:eastAsia="Arial Unicode MS" w:cs="Calibri" w:ascii="Calibri" w:hAnsi="Calibri"/>
          <w:b/>
          <w:color w:val="000000"/>
          <w:kern w:val="2"/>
          <w:sz w:val="24"/>
          <w:szCs w:val="20"/>
          <w:lang w:val="el-GR" w:bidi="el-GR"/>
        </w:rPr>
        <w:t xml:space="preserve"> </w:t>
      </w:r>
      <w:r>
        <w:rPr>
          <w:rFonts w:eastAsia="Arial Unicode MS" w:cs="Calibri" w:ascii="Calibri" w:hAnsi="Calibri"/>
          <w:b/>
          <w:color w:val="000000"/>
          <w:kern w:val="2"/>
          <w:sz w:val="20"/>
          <w:szCs w:val="20"/>
          <w:lang w:val="el-GR" w:bidi="el-GR"/>
        </w:rPr>
        <w:t>(αναλυτικά οι πράξεις υπολογισμού) για το σύνολο των απαιτήσεων.</w:t>
      </w:r>
    </w:p>
    <w:p>
      <w:pPr>
        <w:pStyle w:val="2"/>
        <w:tabs>
          <w:tab w:val="clear" w:pos="567"/>
          <w:tab w:val="left" w:pos="0" w:leader="none"/>
        </w:tabs>
        <w:spacing w:lineRule="auto" w:line="360" w:before="0" w:after="0"/>
        <w:ind w:left="0" w:right="0" w:hanging="0"/>
        <w:rPr>
          <w:rFonts w:ascii="Calibri" w:hAnsi="Calibri" w:eastAsia="Arial Unicode MS" w:cs="Calibri"/>
          <w:sz w:val="24"/>
          <w:szCs w:val="24"/>
          <w:lang w:val="el-GR"/>
        </w:rPr>
      </w:pPr>
      <w:bookmarkStart w:id="220" w:name="__RefHeading___Toc35677_1890191151"/>
      <w:bookmarkStart w:id="221" w:name="_Toc58242702"/>
      <w:bookmarkStart w:id="222" w:name="_Toc492539495"/>
      <w:bookmarkEnd w:id="220"/>
      <w:r>
        <w:rPr>
          <w:rFonts w:eastAsia="Arial Unicode MS" w:cs="Calibri" w:ascii="Calibri" w:hAnsi="Calibri"/>
          <w:sz w:val="24"/>
          <w:szCs w:val="24"/>
          <w:lang w:val="el-GR"/>
        </w:rPr>
        <w:t>ΠΑΡΑΡΤΗΜΑ ΙΙΙ – Υποδείγματα Εγγυητικών Επιστολών</w:t>
      </w:r>
      <w:bookmarkEnd w:id="221"/>
      <w:bookmarkEnd w:id="222"/>
    </w:p>
    <w:p>
      <w:pPr>
        <w:pStyle w:val="Normalwithoutspacing"/>
        <w:spacing w:lineRule="auto" w:line="276" w:before="0" w:after="0"/>
        <w:rPr>
          <w:rFonts w:eastAsia="Arial Unicode MS" w:cs="Calibri"/>
          <w:b/>
          <w:b/>
          <w:sz w:val="24"/>
          <w:u w:val="single"/>
        </w:rPr>
      </w:pPr>
      <w:r>
        <w:rPr>
          <w:rFonts w:eastAsia="Arial Unicode MS" w:cs="Calibri"/>
          <w:b/>
          <w:sz w:val="24"/>
          <w:u w:val="single"/>
        </w:rPr>
        <w:t>Εγγυητική Επιστολή Συμμετοχής</w:t>
      </w:r>
    </w:p>
    <w:p>
      <w:pPr>
        <w:pStyle w:val="Normalwithoutspacing"/>
        <w:spacing w:lineRule="auto" w:line="276" w:before="0" w:after="0"/>
        <w:rPr>
          <w:rFonts w:eastAsia="Arial Unicode MS" w:cs="Calibri"/>
          <w:sz w:val="24"/>
        </w:rPr>
      </w:pPr>
      <w:r>
        <w:rPr>
          <w:rFonts w:eastAsia="Arial Unicode MS" w:cs="Calibri"/>
          <w:sz w:val="24"/>
        </w:rPr>
        <w:t>ΕΚΔΟΤΗΣ.......................................................................</w:t>
      </w:r>
    </w:p>
    <w:p>
      <w:pPr>
        <w:pStyle w:val="Normalwithoutspacing"/>
        <w:spacing w:lineRule="auto" w:line="276" w:before="0" w:after="0"/>
        <w:rPr>
          <w:rFonts w:eastAsia="Arial Unicode MS" w:cs="Calibri"/>
          <w:sz w:val="24"/>
        </w:rPr>
      </w:pPr>
      <w:r>
        <w:rPr>
          <w:rFonts w:eastAsia="Arial Unicode MS" w:cs="Calibri"/>
          <w:sz w:val="24"/>
        </w:rPr>
        <w:t>Ημερομηνία έκδοσης...........................</w:t>
      </w:r>
    </w:p>
    <w:p>
      <w:pPr>
        <w:pStyle w:val="Normalwithoutspacing"/>
        <w:spacing w:lineRule="auto" w:line="276" w:before="0" w:after="0"/>
        <w:rPr>
          <w:rFonts w:eastAsia="Arial Unicode MS" w:cs="Calibri"/>
          <w:sz w:val="24"/>
        </w:rPr>
      </w:pPr>
      <w:r>
        <w:rPr>
          <w:rFonts w:eastAsia="Arial Unicode MS" w:cs="Calibri"/>
          <w:sz w:val="24"/>
        </w:rPr>
        <w:t>Προς: (e-Ε.Φ.Κ.Α.) – ΠΥΣΥ ΘΕΣΣΑΛΙΑΣ</w:t>
      </w:r>
    </w:p>
    <w:p>
      <w:pPr>
        <w:pStyle w:val="Normalwithoutspacing"/>
        <w:spacing w:lineRule="auto" w:line="276" w:before="0" w:after="0"/>
        <w:rPr>
          <w:rFonts w:eastAsia="Arial Unicode MS" w:cs="Calibri"/>
          <w:sz w:val="24"/>
        </w:rPr>
      </w:pPr>
      <w:r>
        <w:rPr>
          <w:rFonts w:eastAsia="Arial Unicode MS" w:cs="Calibri"/>
          <w:sz w:val="24"/>
        </w:rPr>
        <w:t xml:space="preserve">Τμήμα Συντονισμού &amp; Υποστήριξης </w:t>
      </w:r>
    </w:p>
    <w:p>
      <w:pPr>
        <w:pStyle w:val="Normalwithoutspacing"/>
        <w:spacing w:lineRule="auto" w:line="276" w:before="0" w:after="0"/>
        <w:rPr>
          <w:rFonts w:eastAsia="Arial Unicode MS" w:cs="Calibri"/>
          <w:sz w:val="24"/>
        </w:rPr>
      </w:pPr>
      <w:r>
        <w:rPr>
          <w:rFonts w:eastAsia="Arial Unicode MS" w:cs="Calibri"/>
          <w:sz w:val="24"/>
        </w:rPr>
        <w:t>Αγχιάλου &amp; Αγ. Τριάδος, ΤΚ 41334, Λάρισα</w:t>
      </w:r>
    </w:p>
    <w:p>
      <w:pPr>
        <w:pStyle w:val="Normalwithoutspacing"/>
        <w:spacing w:lineRule="auto" w:line="276" w:before="0" w:after="0"/>
        <w:rPr>
          <w:rFonts w:ascii="Calibri" w:hAnsi="Calibri" w:eastAsia="Arial Unicode MS" w:cs="Calibri"/>
          <w:sz w:val="24"/>
        </w:rPr>
      </w:pPr>
      <w:r>
        <w:rPr>
          <w:rFonts w:eastAsia="Arial Unicode MS" w:cs="Calibri"/>
          <w:sz w:val="24"/>
        </w:rPr>
      </w:r>
    </w:p>
    <w:p>
      <w:pPr>
        <w:pStyle w:val="Normalwithoutspacing"/>
        <w:spacing w:lineRule="auto" w:line="276" w:before="0" w:after="0"/>
        <w:rPr>
          <w:rFonts w:eastAsia="Arial Unicode MS" w:cs="Calibri"/>
          <w:sz w:val="24"/>
        </w:rPr>
      </w:pPr>
      <w:r>
        <w:rPr>
          <w:rFonts w:eastAsia="Arial Unicode MS" w:cs="Calibri"/>
          <w:sz w:val="24"/>
        </w:rPr>
        <w:t>Εγγυητική επιστολή μας υπ’ αρ................ για ευρώ.......................</w:t>
      </w:r>
    </w:p>
    <w:p>
      <w:pPr>
        <w:pStyle w:val="Normalwithoutspacing"/>
        <w:spacing w:lineRule="auto" w:line="276" w:before="0" w:after="0"/>
        <w:rPr>
          <w:rFonts w:ascii="Calibri" w:hAnsi="Calibri" w:eastAsia="Arial Unicode MS" w:cs="Calibri"/>
          <w:sz w:val="24"/>
        </w:rPr>
      </w:pPr>
      <w:r>
        <w:rPr>
          <w:rFonts w:eastAsia="Arial Unicode MS" w:cs="Calibri"/>
          <w:sz w:val="24"/>
        </w:rPr>
      </w:r>
    </w:p>
    <w:p>
      <w:pPr>
        <w:pStyle w:val="Normalwithoutspacing"/>
        <w:spacing w:lineRule="auto" w:line="276" w:before="0" w:after="0"/>
        <w:rPr>
          <w:rFonts w:eastAsia="Arial Unicode MS" w:cs="Calibri"/>
          <w:sz w:val="24"/>
        </w:rPr>
      </w:pPr>
      <w:r>
        <w:rPr>
          <w:rFonts w:eastAsia="Arial Unicode MS" w:cs="Calibri"/>
          <w:sz w:val="24"/>
        </w:rPr>
        <w:t xml:space="preserve">Με την παρούσα εγγυόμαστε, ανέκκλητα και ανεπιφύλακτα παραιτούμενοι του δικαιώματος της διαιρέσεως και διζήσεως, υπέρ </w:t>
      </w:r>
    </w:p>
    <w:p>
      <w:pPr>
        <w:pStyle w:val="Normalwithoutspacing"/>
        <w:spacing w:lineRule="auto" w:line="276" w:before="0" w:after="0"/>
        <w:rPr/>
      </w:pPr>
      <w:r>
        <w:rPr>
          <w:rFonts w:eastAsia="Arial Unicode MS" w:cs="Calibri"/>
          <w:sz w:val="24"/>
        </w:rPr>
        <w:t>{</w:t>
      </w:r>
      <w:r>
        <w:rPr>
          <w:rFonts w:eastAsia="Arial Unicode MS" w:cs="Calibri"/>
          <w:color w:val="FF0000"/>
          <w:sz w:val="24"/>
        </w:rPr>
        <w:t>Σε περίπτωση μεμονωμένης εταιρίας</w:t>
      </w:r>
      <w:r>
        <w:rPr>
          <w:rFonts w:eastAsia="Arial Unicode MS" w:cs="Calibri"/>
          <w:sz w:val="24"/>
        </w:rPr>
        <w:t>: της Εταιρίας ……….. οδός …………. αριθμός … ΤΚ ……….., ΑΦΜ …..}</w:t>
      </w:r>
    </w:p>
    <w:p>
      <w:pPr>
        <w:pStyle w:val="Normalwithoutspacing"/>
        <w:spacing w:lineRule="auto" w:line="276" w:before="0" w:after="0"/>
        <w:rPr/>
      </w:pPr>
      <w:r>
        <w:rPr>
          <w:rFonts w:eastAsia="Arial Unicode MS" w:cs="Calibri"/>
          <w:sz w:val="24"/>
        </w:rPr>
        <w:t>{</w:t>
      </w:r>
      <w:r>
        <w:rPr>
          <w:rFonts w:eastAsia="Arial Unicode MS" w:cs="Calibri"/>
          <w:color w:val="FF0000"/>
          <w:sz w:val="24"/>
        </w:rPr>
        <w:t>ή σε περίπτωση Ένωσης ή Κοινοπραξίας</w:t>
      </w:r>
      <w:r>
        <w:rPr>
          <w:rFonts w:eastAsia="Arial Unicode MS" w:cs="Calibri"/>
          <w:sz w:val="24"/>
        </w:rPr>
        <w:t xml:space="preserve">: των Εταιριών </w:t>
      </w:r>
    </w:p>
    <w:p>
      <w:pPr>
        <w:pStyle w:val="Normalwithoutspacing"/>
        <w:spacing w:lineRule="auto" w:line="276" w:before="0" w:after="0"/>
        <w:rPr>
          <w:rFonts w:eastAsia="Arial Unicode MS" w:cs="Calibri"/>
          <w:sz w:val="24"/>
        </w:rPr>
      </w:pPr>
      <w:r>
        <w:rPr>
          <w:rFonts w:eastAsia="Arial Unicode MS" w:cs="Calibri"/>
          <w:sz w:val="24"/>
        </w:rPr>
        <w:t>α)…….….... οδός............................. αριθμός.................ΤΚ……………… ΑΦΜ …….</w:t>
      </w:r>
    </w:p>
    <w:p>
      <w:pPr>
        <w:pStyle w:val="Normalwithoutspacing"/>
        <w:spacing w:lineRule="auto" w:line="276" w:before="0" w:after="0"/>
        <w:rPr>
          <w:rFonts w:eastAsia="Arial Unicode MS" w:cs="Calibri"/>
          <w:sz w:val="24"/>
        </w:rPr>
      </w:pPr>
      <w:r>
        <w:rPr>
          <w:rFonts w:eastAsia="Arial Unicode MS" w:cs="Calibri"/>
          <w:sz w:val="24"/>
        </w:rPr>
        <w:t>β)……….…. οδός............................. αριθμός.................ΤΚ……………… ΑΦΜ ……</w:t>
      </w:r>
    </w:p>
    <w:p>
      <w:pPr>
        <w:pStyle w:val="Normalwithoutspacing"/>
        <w:spacing w:lineRule="auto" w:line="276" w:before="0" w:after="0"/>
        <w:rPr>
          <w:rFonts w:eastAsia="Arial Unicode MS" w:cs="Calibri"/>
          <w:sz w:val="24"/>
        </w:rPr>
      </w:pPr>
      <w:r>
        <w:rPr>
          <w:rFonts w:eastAsia="Arial Unicode MS" w:cs="Calibri"/>
          <w:sz w:val="24"/>
        </w:rPr>
        <w:t>γ)………….. οδός............................. αριθμός.................ΤΚ……………… ΑΦΜ ……</w:t>
      </w:r>
    </w:p>
    <w:p>
      <w:pPr>
        <w:pStyle w:val="Normalwithoutspacing"/>
        <w:spacing w:lineRule="auto" w:line="276" w:before="0" w:after="0"/>
        <w:rPr>
          <w:rFonts w:eastAsia="Arial Unicode MS" w:cs="Calibri"/>
          <w:sz w:val="24"/>
        </w:rPr>
      </w:pPr>
      <w:r>
        <w:rPr>
          <w:rFonts w:eastAsia="Arial Unicode MS" w:cs="Calibri"/>
          <w:sz w:val="24"/>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pPr>
        <w:pStyle w:val="Normalwithoutspacing"/>
        <w:spacing w:lineRule="auto" w:line="276" w:before="0" w:after="0"/>
        <w:rPr>
          <w:rFonts w:eastAsia="Arial Unicode MS" w:cs="Calibri"/>
          <w:sz w:val="24"/>
        </w:rPr>
      </w:pPr>
      <w:r>
        <w:rPr>
          <w:rFonts w:eastAsia="Arial Unicode MS" w:cs="Calibri"/>
          <w:sz w:val="24"/>
        </w:rPr>
        <w:t xml:space="preserve">και μέχρι του ποσού των ευρώ........................., για τη συμμετοχή στο διενεργούμενο διαγωνισμό της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pPr>
        <w:pStyle w:val="Normalwithoutspacing"/>
        <w:spacing w:lineRule="auto" w:line="276" w:before="0" w:after="0"/>
        <w:rPr>
          <w:rFonts w:eastAsia="Arial Unicode MS" w:cs="Calibri"/>
          <w:sz w:val="24"/>
        </w:rPr>
      </w:pPr>
      <w:r>
        <w:rPr>
          <w:rFonts w:eastAsia="Arial Unicode MS" w:cs="Calibri"/>
          <w:sz w:val="24"/>
        </w:rPr>
        <w:t>Η παρούσα εγγύηση καλύπτει καθ’ όλο το χρόνο ισχύος της μόνο τις από τη συμμετοχή στον ανωτέρω διαγωνισμό απορρέουσες υποχρεώσεις</w:t>
      </w:r>
    </w:p>
    <w:p>
      <w:pPr>
        <w:pStyle w:val="Normalwithoutspacing"/>
        <w:spacing w:lineRule="auto" w:line="276" w:before="0" w:after="0"/>
        <w:rPr>
          <w:rFonts w:eastAsia="Arial Unicode MS" w:cs="Calibri"/>
          <w:sz w:val="24"/>
        </w:rPr>
      </w:pPr>
      <w:r>
        <w:rPr>
          <w:rFonts w:eastAsia="Arial Unicode MS" w:cs="Calibri"/>
          <w:sz w:val="24"/>
        </w:rPr>
        <w:t>{Σε περίπτωση μεμονωμένης εταιρίας: της εν λόγω Εταιρίας.}</w:t>
      </w:r>
    </w:p>
    <w:p>
      <w:pPr>
        <w:pStyle w:val="Normalwithoutspacing"/>
        <w:spacing w:lineRule="auto" w:line="276" w:before="0" w:after="0"/>
        <w:rPr>
          <w:rFonts w:eastAsia="Arial Unicode MS" w:cs="Calibri"/>
          <w:sz w:val="24"/>
        </w:rPr>
      </w:pPr>
      <w:r>
        <w:rPr>
          <w:rFonts w:eastAsia="Arial Unicode MS" w:cs="Calibri"/>
          <w:sz w:val="24"/>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pPr>
        <w:pStyle w:val="Normalwithoutspacing"/>
        <w:spacing w:lineRule="auto" w:line="276" w:before="0" w:after="0"/>
        <w:rPr>
          <w:rFonts w:eastAsia="Arial Unicode MS" w:cs="Calibri"/>
          <w:sz w:val="24"/>
        </w:rPr>
      </w:pPr>
      <w:r>
        <w:rPr>
          <w:rFonts w:eastAsia="Arial Unicode MS" w:cs="Calibri"/>
          <w:sz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pPr>
        <w:pStyle w:val="Normalwithoutspacing"/>
        <w:spacing w:lineRule="auto" w:line="276" w:before="0" w:after="0"/>
        <w:rPr>
          <w:rFonts w:eastAsia="Arial Unicode MS" w:cs="Calibri"/>
          <w:sz w:val="24"/>
        </w:rPr>
      </w:pPr>
      <w:r>
        <w:rPr>
          <w:rFonts w:eastAsia="Arial Unicode MS" w:cs="Calibri"/>
          <w:sz w:val="24"/>
        </w:rPr>
        <w:t>Η παρούσα ισχύει μέχρι και την ………………(Σημείωση προς την Τράπεζα: ο χρόνος ισχύος πρέπει να είναι μεγαλύτερος τουλάχιστον κατά ένα (1) μήνα του χρόνου ισχύος της Προσφοράς).</w:t>
      </w:r>
    </w:p>
    <w:p>
      <w:pPr>
        <w:pStyle w:val="Normalwithoutspacing"/>
        <w:spacing w:lineRule="auto" w:line="276" w:before="0" w:after="0"/>
        <w:rPr>
          <w:rFonts w:eastAsia="Arial Unicode MS" w:cs="Calibri"/>
          <w:sz w:val="24"/>
        </w:rPr>
      </w:pPr>
      <w:r>
        <w:rPr>
          <w:rFonts w:eastAsia="Arial Unicode MS" w:cs="Calibri"/>
          <w:sz w:val="24"/>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pPr>
        <w:pStyle w:val="Normalwithoutspacing"/>
        <w:spacing w:lineRule="auto" w:line="276" w:before="0" w:after="0"/>
        <w:rPr>
          <w:rFonts w:eastAsia="Arial Unicode MS" w:cs="Calibri"/>
          <w:sz w:val="24"/>
        </w:rPr>
      </w:pPr>
      <w:r>
        <w:rPr>
          <w:rFonts w:eastAsia="Arial Unicode MS" w:cs="Calibri"/>
          <w:sz w:val="24"/>
        </w:rPr>
        <w:t>Σε περίπτωση κατάπτωσης της εγγύησης, το ποσό της κατάπτωσης υπόκειται στο εκάστοτε ισχύον πάγιο τέλος χαρτοσήμου.</w:t>
      </w:r>
    </w:p>
    <w:p>
      <w:pPr>
        <w:pStyle w:val="Normalwithoutspacing"/>
        <w:spacing w:lineRule="auto" w:line="276" w:before="0" w:after="0"/>
        <w:rPr>
          <w:rFonts w:eastAsia="Arial Unicode MS" w:cs="Calibri"/>
          <w:sz w:val="24"/>
        </w:rPr>
      </w:pPr>
      <w:r>
        <w:rPr>
          <w:rFonts w:eastAsia="Arial Unicode MS" w:cs="Calibri"/>
          <w:sz w:val="24"/>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pPr>
        <w:pStyle w:val="Normalwithoutspacing"/>
        <w:spacing w:lineRule="auto" w:line="360" w:before="0" w:after="0"/>
        <w:rPr>
          <w:rFonts w:ascii="Calibri" w:hAnsi="Calibri" w:eastAsia="Arial Unicode MS" w:cs="Calibri"/>
          <w:sz w:val="24"/>
        </w:rPr>
      </w:pPr>
      <w:r>
        <w:rPr>
          <w:rFonts w:eastAsia="Arial Unicode MS" w:cs="Calibri"/>
          <w:sz w:val="24"/>
        </w:rPr>
      </w:r>
    </w:p>
    <w:p>
      <w:pPr>
        <w:pStyle w:val="Normalwithoutspacing"/>
        <w:spacing w:lineRule="auto" w:line="360" w:before="0" w:after="0"/>
        <w:rPr>
          <w:rFonts w:eastAsia="Arial Unicode MS" w:cs="Calibri"/>
          <w:sz w:val="24"/>
        </w:rPr>
      </w:pPr>
      <w:r>
        <w:rPr>
          <w:rFonts w:eastAsia="Arial Unicode MS" w:cs="Calibri"/>
          <w:sz w:val="24"/>
        </w:rPr>
        <w:t>(Εξουσιοδοτημένη υπογραφή)</w:t>
      </w:r>
    </w:p>
    <w:p>
      <w:pPr>
        <w:pStyle w:val="Normalwithoutspacing"/>
        <w:spacing w:lineRule="auto" w:line="360" w:before="0" w:after="0"/>
        <w:rPr>
          <w:rFonts w:eastAsia="Arial Unicode MS" w:cs="Calibri"/>
          <w:b/>
          <w:b/>
          <w:u w:val="single"/>
        </w:rPr>
      </w:pPr>
      <w:r>
        <w:rPr>
          <w:rFonts w:eastAsia="Arial Unicode MS" w:cs="Calibri"/>
          <w:b/>
          <w:u w:val="single"/>
        </w:rPr>
      </w:r>
    </w:p>
    <w:p>
      <w:pPr>
        <w:pStyle w:val="Normalwithoutspacing"/>
        <w:spacing w:lineRule="auto" w:line="360" w:before="0" w:after="0"/>
        <w:rPr>
          <w:rFonts w:eastAsia="Arial Unicode MS" w:cs="Calibri"/>
          <w:b/>
          <w:b/>
          <w:sz w:val="24"/>
          <w:u w:val="single"/>
        </w:rPr>
      </w:pPr>
      <w:r>
        <w:rPr>
          <w:rFonts w:eastAsia="Arial Unicode MS" w:cs="Calibri"/>
          <w:b/>
          <w:sz w:val="24"/>
          <w:u w:val="single"/>
        </w:rPr>
        <w:t>Εγγυητική Επιστολή Καλής Εκτέλεσης Σύμβασης</w:t>
      </w:r>
    </w:p>
    <w:p>
      <w:pPr>
        <w:pStyle w:val="Normalwithoutspacing"/>
        <w:spacing w:lineRule="auto" w:line="276" w:before="114" w:after="114"/>
        <w:rPr>
          <w:rFonts w:eastAsia="Arial Unicode MS" w:cs="Calibri"/>
          <w:sz w:val="24"/>
        </w:rPr>
      </w:pPr>
      <w:r>
        <w:rPr>
          <w:rFonts w:eastAsia="Arial Unicode MS" w:cs="Calibri"/>
          <w:sz w:val="24"/>
        </w:rPr>
        <w:t>ΕΚΔΟΤΗΣ.......................................................................</w:t>
      </w:r>
    </w:p>
    <w:p>
      <w:pPr>
        <w:pStyle w:val="Normalwithoutspacing"/>
        <w:spacing w:lineRule="auto" w:line="276" w:before="0" w:after="0"/>
        <w:rPr>
          <w:rFonts w:eastAsia="Arial Unicode MS" w:cs="Calibri"/>
          <w:sz w:val="24"/>
        </w:rPr>
      </w:pPr>
      <w:r>
        <w:rPr>
          <w:rFonts w:eastAsia="Arial Unicode MS" w:cs="Calibri"/>
          <w:sz w:val="24"/>
        </w:rPr>
        <w:t>Ημερομηνία έκδοσης...........................</w:t>
      </w:r>
    </w:p>
    <w:p>
      <w:pPr>
        <w:pStyle w:val="Normalwithoutspacing"/>
        <w:spacing w:lineRule="auto" w:line="276" w:before="0" w:after="0"/>
        <w:rPr>
          <w:rFonts w:eastAsia="Arial Unicode MS" w:cs="Calibri"/>
          <w:sz w:val="24"/>
        </w:rPr>
      </w:pPr>
      <w:r>
        <w:rPr>
          <w:rFonts w:eastAsia="Arial Unicode MS" w:cs="Calibri"/>
          <w:sz w:val="24"/>
        </w:rPr>
      </w:r>
    </w:p>
    <w:p>
      <w:pPr>
        <w:pStyle w:val="Normalwithoutspacing"/>
        <w:spacing w:lineRule="auto" w:line="276" w:before="0" w:after="0"/>
        <w:rPr>
          <w:rFonts w:eastAsia="Arial Unicode MS" w:cs="Calibri"/>
          <w:sz w:val="24"/>
        </w:rPr>
      </w:pPr>
      <w:r>
        <w:rPr>
          <w:rFonts w:eastAsia="Arial Unicode MS" w:cs="Calibri"/>
          <w:sz w:val="24"/>
        </w:rPr>
        <w:t>Προς: (e-Ε.Φ.Κ.Α.) – ΠΥΣΥ ΘΕΣΣΑΛΙΑΣ</w:t>
      </w:r>
    </w:p>
    <w:p>
      <w:pPr>
        <w:pStyle w:val="Normalwithoutspacing"/>
        <w:spacing w:lineRule="auto" w:line="276" w:before="0" w:after="0"/>
        <w:rPr>
          <w:rFonts w:eastAsia="Arial Unicode MS" w:cs="Calibri"/>
          <w:sz w:val="24"/>
        </w:rPr>
      </w:pPr>
      <w:r>
        <w:rPr>
          <w:rFonts w:eastAsia="Arial Unicode MS" w:cs="Calibri"/>
          <w:sz w:val="24"/>
        </w:rPr>
        <w:t xml:space="preserve">Τμήμα Συντονισμού &amp; Υποστήριξης </w:t>
      </w:r>
    </w:p>
    <w:p>
      <w:pPr>
        <w:pStyle w:val="Normalwithoutspacing"/>
        <w:spacing w:lineRule="auto" w:line="276" w:before="0" w:after="0"/>
        <w:rPr>
          <w:rFonts w:eastAsia="Arial Unicode MS" w:cs="Calibri"/>
          <w:sz w:val="24"/>
        </w:rPr>
      </w:pPr>
      <w:r>
        <w:rPr>
          <w:rFonts w:eastAsia="Arial Unicode MS" w:cs="Calibri"/>
          <w:sz w:val="24"/>
        </w:rPr>
        <w:t>Αγχιάλου &amp; Αγ. Τριάδος, ΤΚ 41334, Λάρισα</w:t>
      </w:r>
    </w:p>
    <w:p>
      <w:pPr>
        <w:pStyle w:val="Normalwithoutspacing"/>
        <w:spacing w:lineRule="auto" w:line="276" w:before="0" w:after="0"/>
        <w:rPr>
          <w:rFonts w:eastAsia="Arial Unicode MS" w:cs="Calibri"/>
          <w:sz w:val="24"/>
        </w:rPr>
      </w:pPr>
      <w:r>
        <w:rPr>
          <w:rFonts w:eastAsia="Arial Unicode MS" w:cs="Calibri"/>
          <w:sz w:val="24"/>
        </w:rPr>
      </w:r>
    </w:p>
    <w:p>
      <w:pPr>
        <w:pStyle w:val="Normalwithoutspacing"/>
        <w:spacing w:lineRule="auto" w:line="276" w:before="0" w:after="0"/>
        <w:rPr>
          <w:rFonts w:eastAsia="Arial Unicode MS" w:cs="Calibri"/>
          <w:sz w:val="24"/>
        </w:rPr>
      </w:pPr>
      <w:r>
        <w:rPr>
          <w:rFonts w:eastAsia="Arial Unicode MS" w:cs="Calibri"/>
          <w:sz w:val="24"/>
        </w:rPr>
        <w:t>Εγγυητική επιστολή μας υπ’ αρ................. για ευρώ.......................</w:t>
      </w:r>
    </w:p>
    <w:p>
      <w:pPr>
        <w:pStyle w:val="Normalwithoutspacing"/>
        <w:spacing w:lineRule="auto" w:line="276" w:before="0" w:after="0"/>
        <w:rPr>
          <w:rFonts w:eastAsia="Arial Unicode MS" w:cs="Calibri"/>
          <w:sz w:val="24"/>
        </w:rPr>
      </w:pPr>
      <w:r>
        <w:rPr>
          <w:rFonts w:eastAsia="Arial Unicode MS" w:cs="Calibri"/>
          <w:sz w:val="24"/>
        </w:rPr>
      </w:r>
    </w:p>
    <w:p>
      <w:pPr>
        <w:pStyle w:val="Normalwithoutspacing"/>
        <w:spacing w:lineRule="auto" w:line="276" w:before="0" w:after="0"/>
        <w:rPr>
          <w:rFonts w:eastAsia="Arial Unicode MS" w:cs="Calibri"/>
          <w:sz w:val="24"/>
        </w:rPr>
      </w:pPr>
      <w:r>
        <w:rPr>
          <w:rFonts w:eastAsia="Arial Unicode MS" w:cs="Calibri"/>
          <w:sz w:val="24"/>
        </w:rPr>
        <w:t xml:space="preserve">Με την παρούσα εγγυόμαστε, ανέκκλητα και ανεπιφύλακτα παραιτούμενοι του δικαιώματος της διαιρέσεως και διζήσεως, υπέρ </w:t>
      </w:r>
    </w:p>
    <w:p>
      <w:pPr>
        <w:pStyle w:val="Normalwithoutspacing"/>
        <w:spacing w:lineRule="auto" w:line="276" w:before="0" w:after="0"/>
        <w:rPr/>
      </w:pPr>
      <w:r>
        <w:rPr>
          <w:rFonts w:eastAsia="Arial Unicode MS" w:cs="Calibri"/>
          <w:sz w:val="24"/>
        </w:rPr>
        <w:t>{</w:t>
      </w:r>
      <w:r>
        <w:rPr>
          <w:rFonts w:eastAsia="Arial Unicode MS" w:cs="Calibri"/>
          <w:color w:val="FF0000"/>
          <w:sz w:val="24"/>
        </w:rPr>
        <w:t>Σε περίπτωση μεμονωμένης εταιρίας</w:t>
      </w:r>
      <w:r>
        <w:rPr>
          <w:rFonts w:eastAsia="Arial Unicode MS" w:cs="Calibri"/>
          <w:sz w:val="24"/>
        </w:rPr>
        <w:t xml:space="preserve"> : της Εταιρίας …… Οδός …… Αριθμός ……. Τ.Κ. ……… ΑΦΜ ……..} </w:t>
      </w:r>
    </w:p>
    <w:p>
      <w:pPr>
        <w:pStyle w:val="Normalwithoutspacing"/>
        <w:spacing w:lineRule="auto" w:line="276" w:before="0" w:after="0"/>
        <w:rPr/>
      </w:pPr>
      <w:r>
        <w:rPr>
          <w:rFonts w:eastAsia="Arial Unicode MS" w:cs="Calibri"/>
          <w:sz w:val="24"/>
        </w:rPr>
        <w:t>{</w:t>
      </w:r>
      <w:r>
        <w:rPr>
          <w:rFonts w:eastAsia="Arial Unicode MS" w:cs="Calibri"/>
          <w:color w:val="FF0000"/>
          <w:sz w:val="24"/>
        </w:rPr>
        <w:t>ή σε περίπτωση Ένωσης ή Κοινοπραξίας</w:t>
      </w:r>
      <w:r>
        <w:rPr>
          <w:rFonts w:eastAsia="Arial Unicode MS" w:cs="Calibri"/>
          <w:sz w:val="24"/>
        </w:rPr>
        <w:t xml:space="preserve"> : των Εταιριών </w:t>
      </w:r>
    </w:p>
    <w:p>
      <w:pPr>
        <w:pStyle w:val="Normalwithoutspacing"/>
        <w:spacing w:lineRule="auto" w:line="276" w:before="0" w:after="0"/>
        <w:rPr>
          <w:rFonts w:ascii="Calibri" w:hAnsi="Calibri" w:eastAsia="Arial Unicode MS" w:cs="Calibri"/>
          <w:sz w:val="24"/>
        </w:rPr>
      </w:pPr>
      <w:r>
        <w:rPr>
          <w:rFonts w:eastAsia="Arial Unicode MS" w:cs="Calibri"/>
          <w:sz w:val="24"/>
        </w:rPr>
      </w:r>
    </w:p>
    <w:p>
      <w:pPr>
        <w:pStyle w:val="Normalwithoutspacing"/>
        <w:spacing w:lineRule="auto" w:line="276" w:before="0" w:after="0"/>
        <w:rPr>
          <w:rFonts w:eastAsia="Arial Unicode MS" w:cs="Calibri"/>
          <w:sz w:val="24"/>
        </w:rPr>
      </w:pPr>
      <w:r>
        <w:rPr>
          <w:rFonts w:eastAsia="Arial Unicode MS" w:cs="Calibri"/>
          <w:sz w:val="24"/>
        </w:rPr>
        <w:t>α) ……………… οδός ……………… αριθμός ………………. Τ.Κ. ………….. ΑΦΜ …</w:t>
      </w:r>
    </w:p>
    <w:p>
      <w:pPr>
        <w:pStyle w:val="Normalwithoutspacing"/>
        <w:spacing w:lineRule="auto" w:line="276" w:before="0" w:after="0"/>
        <w:rPr>
          <w:rFonts w:eastAsia="Arial Unicode MS" w:cs="Calibri"/>
          <w:sz w:val="24"/>
        </w:rPr>
      </w:pPr>
      <w:r>
        <w:rPr>
          <w:rFonts w:eastAsia="Arial Unicode MS" w:cs="Calibri"/>
          <w:sz w:val="24"/>
        </w:rPr>
        <w:t>β) ……………… οδός ……………… αριθμός ………………. Τ.Κ. ………….. ΑΦΜ …</w:t>
      </w:r>
    </w:p>
    <w:p>
      <w:pPr>
        <w:pStyle w:val="Normalwithoutspacing"/>
        <w:spacing w:lineRule="auto" w:line="276" w:before="0" w:after="0"/>
        <w:rPr>
          <w:rFonts w:eastAsia="Arial Unicode MS" w:cs="Calibri"/>
          <w:sz w:val="24"/>
        </w:rPr>
      </w:pPr>
      <w:r>
        <w:rPr>
          <w:rFonts w:eastAsia="Arial Unicode MS" w:cs="Calibri"/>
          <w:sz w:val="24"/>
        </w:rPr>
        <w:t>γ) ……………… οδός ……………… αριθμός ………………. Τ.Κ. ………….. ΑΦΜ …</w:t>
      </w:r>
    </w:p>
    <w:p>
      <w:pPr>
        <w:pStyle w:val="Normalwithoutspacing"/>
        <w:spacing w:lineRule="auto" w:line="276" w:before="0" w:after="0"/>
        <w:rPr>
          <w:rFonts w:eastAsia="Arial Unicode MS" w:cs="Calibri"/>
          <w:sz w:val="24"/>
        </w:rPr>
      </w:pPr>
      <w:r>
        <w:rPr>
          <w:rFonts w:eastAsia="Arial Unicode MS" w:cs="Calibri"/>
          <w:sz w:val="24"/>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pPr>
        <w:pStyle w:val="Normalwithoutspacing"/>
        <w:spacing w:lineRule="auto" w:line="276" w:before="0" w:after="0"/>
        <w:rPr>
          <w:rFonts w:eastAsia="Arial Unicode MS" w:cs="Calibri"/>
          <w:sz w:val="24"/>
        </w:rPr>
      </w:pPr>
      <w:r>
        <w:rPr>
          <w:rFonts w:eastAsia="Arial Unicode MS" w:cs="Calibri"/>
          <w:sz w:val="24"/>
        </w:rPr>
        <w:t>και μέχρι του ποσού των ευρώ........................., για την καλή εκτέλεση της σύμβασης με αριθμό................... που αφορά στο διαγωνισμό 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pPr>
        <w:pStyle w:val="Normalwithoutspacing"/>
        <w:spacing w:lineRule="auto" w:line="276" w:before="0" w:after="0"/>
        <w:rPr>
          <w:rFonts w:eastAsia="Arial Unicode MS" w:cs="Calibri"/>
          <w:sz w:val="24"/>
        </w:rPr>
      </w:pPr>
      <w:r>
        <w:rPr>
          <w:rFonts w:eastAsia="Arial Unicode MS" w:cs="Calibri"/>
          <w:sz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pPr>
        <w:pStyle w:val="Normalwithoutspacing"/>
        <w:spacing w:lineRule="auto" w:line="276" w:before="0" w:after="0"/>
        <w:rPr>
          <w:rFonts w:eastAsia="Arial Unicode MS" w:cs="Calibri"/>
          <w:sz w:val="24"/>
        </w:rPr>
      </w:pPr>
      <w:r>
        <w:rPr>
          <w:rFonts w:eastAsia="Arial Unicode MS" w:cs="Calibri"/>
          <w:sz w:val="24"/>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pPr>
        <w:pStyle w:val="Normalwithoutspacing"/>
        <w:spacing w:lineRule="auto" w:line="276" w:before="0" w:after="0"/>
        <w:rPr>
          <w:rFonts w:eastAsia="Arial Unicode MS" w:cs="Calibri"/>
          <w:sz w:val="24"/>
        </w:rPr>
      </w:pPr>
      <w:r>
        <w:rPr>
          <w:rFonts w:eastAsia="Arial Unicode MS" w:cs="Calibri"/>
          <w:sz w:val="24"/>
        </w:rPr>
        <w:t xml:space="preserve">Σε περίπτωση κατάπτωσης της εγγύησης, το ποσό της κατάπτωσης υπόκειται στο εκάστοτε ισχύον πάγιο τέλος χαρτοσήμου. </w:t>
      </w:r>
    </w:p>
    <w:p>
      <w:pPr>
        <w:pStyle w:val="Normalwithoutspacing"/>
        <w:spacing w:lineRule="auto" w:line="276" w:before="0" w:after="0"/>
        <w:rPr>
          <w:rFonts w:eastAsia="Arial Unicode MS" w:cs="Calibri"/>
          <w:sz w:val="24"/>
        </w:rPr>
      </w:pPr>
      <w:r>
        <w:rPr>
          <w:rFonts w:eastAsia="Arial Unicode MS" w:cs="Calibri"/>
          <w:sz w:val="24"/>
        </w:rPr>
        <w:t xml:space="preserve">Βεβαιώνουμε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pPr>
        <w:pStyle w:val="Normalwithoutspacing"/>
        <w:spacing w:lineRule="auto" w:line="276" w:before="0" w:after="0"/>
        <w:rPr>
          <w:rFonts w:eastAsia="Arial Unicode MS" w:cs="Calibri"/>
          <w:sz w:val="24"/>
        </w:rPr>
      </w:pPr>
      <w:r>
        <w:rPr>
          <w:rFonts w:eastAsia="Arial Unicode MS" w:cs="Calibri"/>
          <w:sz w:val="24"/>
        </w:rPr>
        <w:t>(Εξουσιοδοτημένη υπογραφή)</w:t>
      </w:r>
    </w:p>
    <w:p>
      <w:pPr>
        <w:pStyle w:val="Normal"/>
        <w:spacing w:lineRule="auto" w:line="360" w:before="0" w:after="0"/>
        <w:rPr>
          <w:rFonts w:eastAsia="Arial Unicode MS"/>
          <w:b/>
          <w:b/>
          <w:lang w:val="el-GR"/>
        </w:rPr>
      </w:pPr>
      <w:r>
        <w:rPr>
          <w:rFonts w:eastAsia="Arial Unicode MS"/>
          <w:b/>
          <w:lang w:val="el-GR"/>
        </w:rPr>
      </w:r>
      <w:r>
        <w:br w:type="page"/>
      </w:r>
    </w:p>
    <w:p>
      <w:pPr>
        <w:pStyle w:val="Normal"/>
        <w:spacing w:lineRule="auto" w:line="360" w:before="0" w:after="0"/>
        <w:rPr/>
      </w:pPr>
      <w:r>
        <w:rPr>
          <w:rFonts w:eastAsia="Calibri"/>
          <w:b/>
          <w:color w:val="002060"/>
          <w:sz w:val="24"/>
          <w:lang w:val="el-GR" w:eastAsia="ar-SA"/>
        </w:rPr>
        <w:t xml:space="preserve">ΠΑΡΑΡΤΗΜΑ </w:t>
      </w:r>
      <w:r>
        <w:rPr>
          <w:rFonts w:eastAsia="Calibri"/>
          <w:b/>
          <w:color w:val="002060"/>
          <w:sz w:val="24"/>
          <w:lang w:val="en-US" w:eastAsia="ar-SA"/>
        </w:rPr>
        <w:t>I</w:t>
      </w:r>
      <w:r>
        <w:rPr>
          <w:rFonts w:eastAsia="Calibri"/>
          <w:b/>
          <w:color w:val="002060"/>
          <w:sz w:val="24"/>
          <w:lang w:val="el-GR" w:eastAsia="ar-SA"/>
        </w:rPr>
        <w:t>V –  ΕΝΗΜΕΡΩΣΗ ΓΙΑ ΤΗΝ ΕΠΕΞΕΡΓΑΣΙΑ ΠΡΟΣΩΠΙΚΩΝ ΔΕΔΟΜΕΝΩΝ</w:t>
      </w:r>
    </w:p>
    <w:p>
      <w:pPr>
        <w:pStyle w:val="Normal"/>
        <w:spacing w:lineRule="auto" w:line="276" w:before="0" w:after="0"/>
        <w:rPr>
          <w:rFonts w:eastAsia="Arial Unicode MS"/>
          <w:sz w:val="24"/>
          <w:lang w:val="el-GR"/>
        </w:rPr>
      </w:pPr>
      <w:r>
        <w:rPr>
          <w:rFonts w:eastAsia="Arial Unicode MS"/>
          <w:sz w:val="24"/>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pPr>
        <w:pStyle w:val="Normal"/>
        <w:spacing w:lineRule="auto" w:line="276" w:before="0" w:after="0"/>
        <w:rPr>
          <w:rFonts w:eastAsia="Arial Unicode MS"/>
          <w:sz w:val="24"/>
          <w:lang w:val="el-GR"/>
        </w:rPr>
      </w:pPr>
      <w:r>
        <w:rPr>
          <w:rFonts w:eastAsia="Arial Unicode MS"/>
          <w:sz w:val="24"/>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pPr>
        <w:pStyle w:val="Normal"/>
        <w:spacing w:lineRule="auto" w:line="276" w:before="0" w:after="0"/>
        <w:rPr>
          <w:rFonts w:eastAsia="Arial Unicode MS"/>
          <w:sz w:val="24"/>
          <w:lang w:val="el-GR"/>
        </w:rPr>
      </w:pPr>
      <w:r>
        <w:rPr>
          <w:rFonts w:eastAsia="Arial Unicode MS"/>
          <w:sz w:val="24"/>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pPr>
        <w:pStyle w:val="Normal"/>
        <w:spacing w:lineRule="auto" w:line="276" w:before="0" w:after="0"/>
        <w:rPr>
          <w:rFonts w:eastAsia="Arial Unicode MS"/>
          <w:sz w:val="24"/>
          <w:lang w:val="el-GR"/>
        </w:rPr>
      </w:pPr>
      <w:r>
        <w:rPr>
          <w:rFonts w:eastAsia="Arial Unicode MS"/>
          <w:sz w:val="24"/>
          <w:lang w:val="el-GR"/>
        </w:rPr>
        <w:t xml:space="preserve">ΙΙΙ. Αποδέκτες των ανωτέρω (υπό Α) δεδομένων στους οποίους κοινοποιούνται είναι: </w:t>
      </w:r>
    </w:p>
    <w:p>
      <w:pPr>
        <w:pStyle w:val="Normal"/>
        <w:spacing w:lineRule="auto" w:line="276" w:before="0" w:after="0"/>
        <w:rPr>
          <w:rFonts w:eastAsia="Arial Unicode MS"/>
          <w:sz w:val="24"/>
          <w:lang w:val="el-GR"/>
        </w:rPr>
      </w:pPr>
      <w:r>
        <w:rPr>
          <w:rFonts w:eastAsia="Arial Unicode MS"/>
          <w:sz w:val="24"/>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pPr>
        <w:pStyle w:val="Normal"/>
        <w:spacing w:lineRule="auto" w:line="276" w:before="0" w:after="0"/>
        <w:rPr>
          <w:rFonts w:eastAsia="Arial Unicode MS"/>
          <w:sz w:val="24"/>
          <w:lang w:val="el-GR"/>
        </w:rPr>
      </w:pPr>
      <w:r>
        <w:rPr>
          <w:rFonts w:eastAsia="Arial Unicode MS"/>
          <w:sz w:val="24"/>
          <w:lang w:val="el-GR"/>
        </w:rPr>
        <w:t>(β) Το Δημόσιο, άλλοι δημόσιοι φορείς ή δικαστικές αρχές ή άλλες αρχές ή δικαιοδοτικά όργανα, στο πλαίσιο των αρμοδιοτήτων τους.</w:t>
      </w:r>
    </w:p>
    <w:p>
      <w:pPr>
        <w:pStyle w:val="Normal"/>
        <w:spacing w:lineRule="auto" w:line="276" w:before="0" w:after="0"/>
        <w:rPr>
          <w:rFonts w:eastAsia="Arial Unicode MS"/>
          <w:sz w:val="24"/>
          <w:lang w:val="el-GR"/>
        </w:rPr>
      </w:pPr>
      <w:r>
        <w:rPr>
          <w:rFonts w:eastAsia="Arial Unicode MS"/>
          <w:sz w:val="24"/>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pPr>
        <w:pStyle w:val="Normal"/>
        <w:spacing w:lineRule="auto" w:line="276" w:before="0" w:after="0"/>
        <w:rPr>
          <w:rFonts w:eastAsia="Arial Unicode MS"/>
          <w:sz w:val="24"/>
          <w:lang w:val="el-GR"/>
        </w:rPr>
      </w:pPr>
      <w:r>
        <w:rPr>
          <w:rFonts w:eastAsia="Arial Unicode MS"/>
          <w:sz w:val="24"/>
          <w:lang w:val="el-GR"/>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pPr>
        <w:pStyle w:val="Normal"/>
        <w:spacing w:lineRule="auto" w:line="276" w:before="0" w:after="0"/>
        <w:rPr>
          <w:rFonts w:eastAsia="Arial Unicode MS"/>
          <w:sz w:val="24"/>
          <w:lang w:val="el-GR"/>
        </w:rPr>
      </w:pPr>
      <w:r>
        <w:rPr>
          <w:rFonts w:eastAsia="Arial Unicode MS"/>
          <w:sz w:val="24"/>
          <w:lang w:val="el-GR"/>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pPr>
        <w:pStyle w:val="Normal"/>
        <w:spacing w:lineRule="auto" w:line="276" w:before="0" w:after="0"/>
        <w:rPr>
          <w:rFonts w:eastAsia="Arial Unicode MS"/>
          <w:sz w:val="24"/>
          <w:lang w:val="el-GR"/>
        </w:rPr>
      </w:pPr>
      <w:r>
        <w:rPr>
          <w:rFonts w:eastAsia="Arial Unicode MS"/>
          <w:sz w:val="24"/>
          <w:lang w:val="el-GR"/>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r>
        <w:br w:type="page"/>
      </w:r>
    </w:p>
    <w:p>
      <w:pPr>
        <w:pStyle w:val="2"/>
        <w:ind w:left="0" w:right="0" w:hanging="0"/>
        <w:rPr/>
      </w:pPr>
      <w:bookmarkStart w:id="223" w:name="__RefHeading___Toc35679_1890191151"/>
      <w:bookmarkStart w:id="224" w:name="_Toc75718048"/>
      <w:bookmarkStart w:id="225" w:name="_Toc127963107"/>
      <w:bookmarkEnd w:id="223"/>
      <w:r>
        <w:rPr>
          <w:rFonts w:eastAsia="Calibri" w:cs="Calibri" w:ascii="Calibri" w:hAnsi="Calibri"/>
          <w:sz w:val="24"/>
          <w:szCs w:val="24"/>
          <w:lang w:val="el-GR" w:eastAsia="ar-SA"/>
        </w:rPr>
        <w:t>ΠΑΡΑΡΤΗΜΑ V Άλλες Δηλώσεις</w:t>
      </w:r>
      <w:bookmarkEnd w:id="224"/>
      <w:bookmarkEnd w:id="225"/>
      <w:r>
        <w:rPr>
          <w:rFonts w:eastAsia="Calibri" w:cs="Calibri" w:ascii="Calibri" w:hAnsi="Calibri"/>
          <w:sz w:val="24"/>
          <w:szCs w:val="24"/>
          <w:lang w:val="el-GR" w:eastAsia="ar-SA"/>
        </w:rPr>
        <w:t xml:space="preserve"> </w:t>
      </w:r>
    </w:p>
    <w:p>
      <w:pPr>
        <w:pStyle w:val="Normal"/>
        <w:rPr/>
      </w:pPr>
      <w:bookmarkStart w:id="226" w:name="_Toc75718049"/>
      <w:bookmarkStart w:id="227" w:name="_Toc127963108"/>
      <w:r>
        <w:rPr>
          <w:rStyle w:val="2Char"/>
          <w:sz w:val="24"/>
          <w:lang w:val="el-GR"/>
        </w:rPr>
        <w:t>ΠΕΡΙΕΧΟΜΕΝΟ ΥΠΕΥΘΥΝΗΣ-ΩΝ ΔΗΛΩΣΗΣ-ΔΗΛΩΣΕΩΝ ΠΟΥ ΠΡΟΣΚΟΜΙΖΟΝΤΑΙ ΩΣ ΔΙΚΑΙΟΛΟΓΗΤΙΚΑ ΚΑΤΑΚΥΡΩΣΗΣ</w:t>
      </w:r>
      <w:bookmarkEnd w:id="226"/>
      <w:bookmarkEnd w:id="227"/>
      <w:r>
        <w:rPr>
          <w:rStyle w:val="Style14"/>
          <w:rStyle w:val="Style14"/>
          <w:rFonts w:cs="Calibri"/>
          <w:b/>
          <w:sz w:val="24"/>
        </w:rPr>
        <w:footnoteReference w:id="92"/>
      </w:r>
    </w:p>
    <w:p>
      <w:pPr>
        <w:pStyle w:val="Normal"/>
        <w:spacing w:lineRule="auto" w:line="276"/>
        <w:rPr>
          <w:sz w:val="24"/>
          <w:lang w:val="el-GR"/>
        </w:rPr>
      </w:pPr>
      <w:r>
        <w:rPr>
          <w:sz w:val="24"/>
          <w:lang w:val="el-GR"/>
        </w:rPr>
        <w:t>Δηλώνω υπεύθυνα ότι:</w:t>
      </w:r>
    </w:p>
    <w:p>
      <w:pPr>
        <w:pStyle w:val="Normal"/>
        <w:spacing w:lineRule="auto" w:line="276"/>
        <w:rPr>
          <w:b/>
          <w:b/>
          <w:sz w:val="24"/>
          <w:lang w:val="el-GR"/>
        </w:rPr>
      </w:pPr>
      <w:r>
        <w:rPr>
          <w:b/>
          <w:sz w:val="24"/>
          <w:lang w:val="el-GR"/>
        </w:rPr>
        <w:t>Παράγραφος 2.2.3.2. διακήρυξης:</w:t>
      </w:r>
    </w:p>
    <w:p>
      <w:pPr>
        <w:pStyle w:val="Normal"/>
        <w:spacing w:lineRule="auto" w:line="276"/>
        <w:rPr/>
      </w:pPr>
      <w:r>
        <w:rPr>
          <w:sz w:val="24"/>
          <w:lang w:val="el-GR"/>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Pr>
          <w:rStyle w:val="Style14"/>
          <w:rStyle w:val="Style14"/>
          <w:rFonts w:cs="Calibri"/>
          <w:sz w:val="24"/>
        </w:rPr>
        <w:footnoteReference w:id="93"/>
      </w:r>
      <w:r>
        <w:rPr>
          <w:rStyle w:val="FootnoteCharacters"/>
          <w:rFonts w:cs="Calibri"/>
          <w:sz w:val="24"/>
          <w:lang w:val="el-GR"/>
        </w:rPr>
        <w:t>,</w:t>
      </w:r>
      <w:r>
        <w:rPr>
          <w:rStyle w:val="Style14"/>
          <w:rStyle w:val="Style14"/>
          <w:rFonts w:cs="Calibri"/>
          <w:sz w:val="24"/>
        </w:rPr>
        <w:footnoteReference w:id="94"/>
      </w:r>
      <w:r>
        <w:rPr>
          <w:sz w:val="24"/>
          <w:lang w:val="el-GR"/>
        </w:rPr>
        <w:t xml:space="preserve">. </w:t>
      </w:r>
    </w:p>
    <w:p>
      <w:pPr>
        <w:pStyle w:val="Normal"/>
        <w:spacing w:lineRule="auto" w:line="276"/>
        <w:rPr>
          <w:rFonts w:eastAsia="Calibri"/>
          <w:bCs/>
          <w:i/>
          <w:i/>
          <w:color w:val="5B9BD5"/>
          <w:sz w:val="24"/>
          <w:lang w:val="el-GR" w:eastAsia="ar-SA"/>
        </w:rPr>
      </w:pPr>
      <w:r>
        <w:rPr>
          <w:rFonts w:eastAsia="Calibri"/>
          <w:bCs/>
          <w:i/>
          <w:color w:val="5B9BD5"/>
          <w:sz w:val="24"/>
          <w:lang w:val="el-GR" w:eastAsia="ar-SA"/>
        </w:rPr>
        <w:t>Ή</w:t>
      </w:r>
    </w:p>
    <w:p>
      <w:pPr>
        <w:pStyle w:val="Normal"/>
        <w:spacing w:lineRule="auto" w:line="276"/>
        <w:rPr/>
      </w:pPr>
      <w:r>
        <w:rPr>
          <w:sz w:val="24"/>
          <w:lang w:val="el-GR"/>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Pr>
          <w:rStyle w:val="FootnoteCharacters"/>
          <w:rFonts w:cs="Calibri"/>
          <w:sz w:val="24"/>
          <w:lang w:val="el-GR"/>
        </w:rPr>
        <w:t xml:space="preserve"> </w:t>
      </w:r>
      <w:r>
        <w:rPr>
          <w:sz w:val="24"/>
          <w:lang w:val="el-GR"/>
        </w:rPr>
        <w:t xml:space="preserve">αλλά τα συγκεκριμένα ποσά είναι εξαιρετικά μικρά. </w:t>
      </w:r>
      <w:r>
        <w:rPr>
          <w:rFonts w:eastAsia="Calibri"/>
          <w:bCs/>
          <w:i/>
          <w:color w:val="5B9BD5"/>
          <w:sz w:val="24"/>
          <w:lang w:val="el-GR" w:eastAsia="ar-SA"/>
        </w:rPr>
        <w:t>[αναγράφονται τα ποσά]</w:t>
      </w:r>
    </w:p>
    <w:p>
      <w:pPr>
        <w:pStyle w:val="Normal"/>
        <w:spacing w:lineRule="auto" w:line="276"/>
        <w:rPr>
          <w:rFonts w:eastAsia="Calibri"/>
          <w:bCs/>
          <w:i/>
          <w:i/>
          <w:color w:val="5B9BD5"/>
          <w:sz w:val="24"/>
          <w:lang w:val="el-GR" w:eastAsia="ar-SA"/>
        </w:rPr>
      </w:pPr>
      <w:r>
        <w:rPr>
          <w:rFonts w:eastAsia="Calibri"/>
          <w:bCs/>
          <w:i/>
          <w:color w:val="5B9BD5"/>
          <w:sz w:val="24"/>
          <w:lang w:val="el-GR" w:eastAsia="ar-SA"/>
        </w:rPr>
        <w:t>Ή</w:t>
      </w:r>
    </w:p>
    <w:p>
      <w:pPr>
        <w:pStyle w:val="Normal"/>
        <w:spacing w:lineRule="auto" w:line="276"/>
        <w:rPr/>
      </w:pPr>
      <w:r>
        <w:rPr>
          <w:sz w:val="24"/>
          <w:lang w:val="el-GR"/>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Pr>
          <w:rFonts w:eastAsia="Calibri"/>
          <w:bCs/>
          <w:i/>
          <w:color w:val="5B9BD5"/>
          <w:sz w:val="24"/>
          <w:lang w:val="el-GR" w:eastAsia="ar-SA"/>
        </w:rPr>
        <w:t>[αναγράφεται το ποσό και η ημερομηνία ενημέρωσης]</w:t>
      </w:r>
    </w:p>
    <w:p>
      <w:pPr>
        <w:pStyle w:val="Normal"/>
        <w:spacing w:lineRule="auto" w:line="276"/>
        <w:rPr>
          <w:b/>
          <w:b/>
          <w:sz w:val="24"/>
          <w:lang w:val="el-GR"/>
        </w:rPr>
      </w:pPr>
      <w:r>
        <w:rPr>
          <w:b/>
          <w:sz w:val="24"/>
          <w:lang w:val="el-GR"/>
        </w:rPr>
        <w:t>Παράγραφος 2.2.3.4. περ. α Διακήρυξης</w:t>
      </w:r>
    </w:p>
    <w:p>
      <w:pPr>
        <w:pStyle w:val="Normal"/>
        <w:spacing w:lineRule="auto" w:line="276"/>
        <w:rPr/>
      </w:pPr>
      <w:r>
        <w:rPr>
          <w:sz w:val="24"/>
          <w:lang w:val="el-GR"/>
        </w:rPr>
        <w:t xml:space="preserve">Κατά την εκτέλεση των δημόσιων συμβάσεων δεν έχω/ουμε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Pr>
          <w:sz w:val="24"/>
        </w:rPr>
        <w:t>X</w:t>
      </w:r>
      <w:r>
        <w:rPr>
          <w:sz w:val="24"/>
          <w:lang w:val="el-GR"/>
        </w:rPr>
        <w:t xml:space="preserve"> του Προσαρτήματος Α του ν. 4412/2016:</w:t>
      </w:r>
    </w:p>
    <w:p>
      <w:pPr>
        <w:pStyle w:val="Normal"/>
        <w:spacing w:lineRule="auto" w:line="276"/>
        <w:rPr/>
      </w:pPr>
      <w:r>
        <w:rPr>
          <w:b/>
          <w:sz w:val="24"/>
          <w:lang w:val="el-GR"/>
        </w:rPr>
        <w:t>Παράγραφος 2.2.3.4. περ. β Διακήρυξης</w:t>
      </w:r>
      <w:r>
        <w:rPr>
          <w:rStyle w:val="Style14"/>
          <w:rStyle w:val="Style14"/>
          <w:rFonts w:cs="Calibri"/>
          <w:b/>
          <w:sz w:val="24"/>
        </w:rPr>
        <w:footnoteReference w:id="95"/>
      </w:r>
    </w:p>
    <w:p>
      <w:pPr>
        <w:pStyle w:val="Normal"/>
        <w:spacing w:lineRule="auto" w:line="276"/>
        <w:rPr/>
      </w:pPr>
      <w:r>
        <w:rPr>
          <w:sz w:val="24"/>
          <w:lang w:val="el-GR"/>
        </w:rPr>
        <w:t xml:space="preserve">Έχω/έχουμε υπαχθεί σε προπτωχευτική ή πτωχευτική διαδικασία αλλά είμαι/είμαστε σε θέση να εκτελέσω/ουμε τη σύμβαση, λαμβάνοντας υπόψη τις ισχύουσες διατάξεις και τα μέτρα για τη συνέχιση της επιχειρηματικής λειτουργίας μου/μας </w:t>
      </w:r>
      <w:r>
        <w:rPr>
          <w:rFonts w:eastAsia="Calibri"/>
          <w:bCs/>
          <w:i/>
          <w:color w:val="5B9BD5"/>
          <w:sz w:val="24"/>
          <w:lang w:val="el-GR" w:eastAsia="ar-SA"/>
        </w:rPr>
        <w:t xml:space="preserve">[αναγράφονται τα αποδεικτικά στοιχεία] </w:t>
      </w:r>
    </w:p>
    <w:p>
      <w:pPr>
        <w:pStyle w:val="Normal"/>
        <w:spacing w:lineRule="auto" w:line="276"/>
        <w:rPr>
          <w:rFonts w:eastAsia="Calibri"/>
          <w:bCs/>
          <w:i/>
          <w:i/>
          <w:color w:val="5B9BD5"/>
          <w:sz w:val="24"/>
          <w:lang w:val="el-GR" w:eastAsia="ar-SA"/>
        </w:rPr>
      </w:pPr>
      <w:r>
        <w:rPr>
          <w:rFonts w:eastAsia="Calibri"/>
          <w:bCs/>
          <w:i/>
          <w:color w:val="5B9BD5"/>
          <w:sz w:val="24"/>
          <w:lang w:val="el-GR" w:eastAsia="ar-SA"/>
        </w:rPr>
        <w:t>Ιδίως στην περίπτωση εξυγίανσης:</w:t>
      </w:r>
    </w:p>
    <w:p>
      <w:pPr>
        <w:pStyle w:val="Normal"/>
        <w:spacing w:lineRule="auto" w:line="276" w:before="114" w:after="234"/>
        <w:rPr/>
      </w:pPr>
      <w:r>
        <w:rPr>
          <w:sz w:val="24"/>
          <w:lang w:val="el-GR"/>
        </w:rPr>
        <w:t xml:space="preserve">Έχω υπαχθεί σε διαδικασία εξυγίανσης </w:t>
      </w:r>
      <w:r>
        <w:rPr>
          <w:rFonts w:eastAsia="Calibri"/>
          <w:bCs/>
          <w:i/>
          <w:color w:val="5B9BD5"/>
          <w:sz w:val="24"/>
          <w:lang w:val="el-GR" w:eastAsia="ar-SA"/>
        </w:rPr>
        <w:t>[αναγράφεται ο αριθμός και η ημερομηνία έκδοσης δικαστικής απόφασης]</w:t>
      </w:r>
      <w:r>
        <w:rPr>
          <w:sz w:val="24"/>
          <w:lang w:val="el-GR"/>
        </w:rPr>
        <w:t xml:space="preserve"> και τηρώ/τηρούμε τους όρους αυτής. </w:t>
      </w:r>
    </w:p>
    <w:p>
      <w:pPr>
        <w:pStyle w:val="Normal"/>
        <w:spacing w:lineRule="auto" w:line="276" w:before="114" w:after="234"/>
        <w:rPr/>
      </w:pPr>
      <w:r>
        <w:rPr>
          <w:b/>
          <w:sz w:val="24"/>
          <w:lang w:val="el-GR"/>
        </w:rPr>
        <w:t>Παράγραφος 2.2.3.4. περ. γ Διακήρυξης</w:t>
      </w:r>
      <w:r>
        <w:rPr>
          <w:rStyle w:val="Style14"/>
          <w:rStyle w:val="Style14"/>
          <w:rFonts w:cs="Calibri"/>
          <w:b/>
          <w:sz w:val="24"/>
        </w:rPr>
        <w:footnoteReference w:id="96"/>
      </w:r>
    </w:p>
    <w:p>
      <w:pPr>
        <w:pStyle w:val="Normal"/>
        <w:spacing w:lineRule="auto" w:line="276"/>
        <w:rPr>
          <w:sz w:val="24"/>
          <w:lang w:val="el-GR"/>
        </w:rPr>
      </w:pPr>
      <w:r>
        <w:rPr>
          <w:sz w:val="24"/>
          <w:lang w:val="el-GR"/>
        </w:rPr>
        <w:t>Δεν έχω/έχουμε συνάψει συμφωνίες με άλλους οικονομικούς φορείς με στόχο τη στρέβλωση του ανταγωνισμού.</w:t>
      </w:r>
    </w:p>
    <w:p>
      <w:pPr>
        <w:pStyle w:val="Normal"/>
        <w:spacing w:lineRule="auto" w:line="276"/>
        <w:rPr>
          <w:rFonts w:eastAsia="Calibri"/>
          <w:bCs/>
          <w:i/>
          <w:i/>
          <w:color w:val="5B9BD5"/>
          <w:sz w:val="24"/>
          <w:lang w:val="el-GR" w:eastAsia="ar-SA"/>
        </w:rPr>
      </w:pPr>
      <w:r>
        <w:rPr>
          <w:rFonts w:eastAsia="Calibri"/>
          <w:bCs/>
          <w:i/>
          <w:color w:val="5B9BD5"/>
          <w:sz w:val="24"/>
          <w:lang w:val="el-GR" w:eastAsia="ar-SA"/>
        </w:rPr>
        <w:t>Ή</w:t>
      </w:r>
    </w:p>
    <w:p>
      <w:pPr>
        <w:pStyle w:val="Normal"/>
        <w:spacing w:lineRule="auto" w:line="276" w:before="114" w:after="234"/>
        <w:rPr>
          <w:sz w:val="24"/>
          <w:lang w:val="el-GR"/>
        </w:rPr>
      </w:pPr>
      <w:r>
        <w:rPr>
          <w:sz w:val="24"/>
          <w:lang w:val="el-GR"/>
        </w:rPr>
        <w:t>Τυγχάνει στη περίπτωσή μου εφαρμογής η περίπτωση β. της παρ. 3 του άρθρου 44 του ν. 3959/2011 (Α΄ 93), και δεν έχω υποπέσει σε επανάληψη της παράβασης.</w:t>
      </w:r>
    </w:p>
    <w:p>
      <w:pPr>
        <w:pStyle w:val="Normal"/>
        <w:spacing w:lineRule="auto" w:line="276" w:before="114" w:after="234"/>
        <w:rPr/>
      </w:pPr>
      <w:r>
        <w:rPr>
          <w:b/>
          <w:sz w:val="24"/>
          <w:lang w:val="el-GR"/>
        </w:rPr>
        <w:t>Παράγραφος 2.2.3.4. περ. δ Διακήρυξης</w:t>
      </w:r>
      <w:r>
        <w:rPr>
          <w:rStyle w:val="Style14"/>
          <w:rStyle w:val="Style14"/>
          <w:rFonts w:cs="Calibri"/>
          <w:b/>
          <w:sz w:val="24"/>
        </w:rPr>
        <w:footnoteReference w:id="97"/>
      </w:r>
    </w:p>
    <w:p>
      <w:pPr>
        <w:pStyle w:val="Normal"/>
        <w:spacing w:lineRule="auto" w:line="276"/>
        <w:rPr>
          <w:sz w:val="24"/>
          <w:lang w:val="el-GR"/>
        </w:rPr>
      </w:pPr>
      <w:r>
        <w:rPr>
          <w:sz w:val="24"/>
          <w:lang w:val="el-GR"/>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pPr>
        <w:pStyle w:val="Normal"/>
        <w:spacing w:lineRule="auto" w:line="276"/>
        <w:rPr/>
      </w:pPr>
      <w:r>
        <w:rPr>
          <w:sz w:val="24"/>
          <w:lang w:val="el-GR"/>
        </w:rPr>
        <w:t xml:space="preserve">α) μέλη του προσωπικού της αναθέτουσας αρχής </w:t>
      </w:r>
      <w:r>
        <w:rPr>
          <w:rFonts w:eastAsia="Calibri"/>
          <w:bCs/>
          <w:i/>
          <w:color w:val="5B9BD5"/>
          <w:sz w:val="24"/>
          <w:lang w:val="el-GR" w:eastAsia="ar-SA"/>
        </w:rPr>
        <w:t>ή του παρόχου υπηρεσιών διαδικασιών σύναψης συμβάσεων ο οποίος ενεργεί εξ ονόματος της αναθέτουσας αρχής</w:t>
      </w:r>
      <w:r>
        <w:rPr>
          <w:sz w:val="24"/>
          <w:lang w:val="el-GR"/>
        </w:rPr>
        <w:t xml:space="preserve">, συμπεριλαμβανομένων των μελών των αποφαινόμενων ή/και γνωμοδοτικών οργάνων ή/και </w:t>
      </w:r>
    </w:p>
    <w:p>
      <w:pPr>
        <w:pStyle w:val="Normal"/>
        <w:spacing w:lineRule="auto" w:line="276"/>
        <w:rPr>
          <w:sz w:val="24"/>
          <w:lang w:val="el-GR"/>
        </w:rPr>
      </w:pPr>
      <w:r>
        <w:rPr>
          <w:sz w:val="24"/>
          <w:lang w:val="el-GR"/>
        </w:rPr>
        <w:t>β) μέλη των οργάνων διοίκησης ή άλλων οργάνων της αναθέτουσας αρχής ή/και</w:t>
      </w:r>
    </w:p>
    <w:p>
      <w:pPr>
        <w:pStyle w:val="Normal"/>
        <w:spacing w:lineRule="auto" w:line="276"/>
        <w:rPr>
          <w:sz w:val="24"/>
          <w:lang w:val="el-GR"/>
        </w:rPr>
      </w:pPr>
      <w:r>
        <w:rPr>
          <w:sz w:val="24"/>
          <w:lang w:val="el-GR"/>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pPr>
        <w:pStyle w:val="Normal"/>
        <w:spacing w:lineRule="auto" w:line="276"/>
        <w:rPr>
          <w:sz w:val="24"/>
          <w:lang w:val="el-GR"/>
        </w:rPr>
      </w:pPr>
      <w:r>
        <w:rPr>
          <w:sz w:val="24"/>
          <w:lang w:val="el-GR"/>
        </w:rPr>
        <w:t>τα οποία:</w:t>
      </w:r>
    </w:p>
    <w:p>
      <w:pPr>
        <w:pStyle w:val="Normal"/>
        <w:spacing w:lineRule="auto" w:line="276"/>
        <w:rPr>
          <w:sz w:val="24"/>
          <w:lang w:val="el-GR"/>
        </w:rPr>
      </w:pPr>
      <w:r>
        <w:rPr>
          <w:sz w:val="24"/>
          <w:lang w:val="el-GR"/>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pPr>
        <w:pStyle w:val="Normal"/>
        <w:spacing w:lineRule="auto" w:line="276"/>
        <w:rPr>
          <w:sz w:val="24"/>
          <w:lang w:val="el-GR"/>
        </w:rPr>
      </w:pPr>
      <w:r>
        <w:rPr>
          <w:sz w:val="24"/>
          <w:lang w:val="el-GR"/>
        </w:rPr>
        <w:t>ββ) μπορούν να επηρεάσουν την έκβασή της</w:t>
      </w:r>
    </w:p>
    <w:p>
      <w:pPr>
        <w:pStyle w:val="Normal"/>
        <w:spacing w:lineRule="auto" w:line="276"/>
        <w:rPr>
          <w:rFonts w:eastAsia="Calibri"/>
          <w:bCs/>
          <w:i/>
          <w:i/>
          <w:color w:val="5B9BD5"/>
          <w:sz w:val="24"/>
          <w:lang w:val="el-GR" w:eastAsia="ar-SA"/>
        </w:rPr>
      </w:pPr>
      <w:r>
        <w:rPr>
          <w:rFonts w:eastAsia="Calibri"/>
          <w:bCs/>
          <w:i/>
          <w:color w:val="5B9BD5"/>
          <w:sz w:val="24"/>
          <w:lang w:val="el-GR" w:eastAsia="ar-SA"/>
        </w:rPr>
        <w:t>Ή</w:t>
      </w:r>
    </w:p>
    <w:p>
      <w:pPr>
        <w:pStyle w:val="Normal"/>
        <w:spacing w:lineRule="auto" w:line="276" w:before="0" w:after="0"/>
        <w:rPr/>
      </w:pPr>
      <w:r>
        <w:rPr>
          <w:sz w:val="24"/>
          <w:lang w:val="el-GR"/>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Pr>
          <w:rFonts w:eastAsia="Calibri"/>
          <w:bCs/>
          <w:i/>
          <w:color w:val="5B9BD5"/>
          <w:sz w:val="24"/>
          <w:lang w:val="el-GR" w:eastAsia="ar-SA"/>
        </w:rPr>
        <w:t>…….[αναγράφονται με ακρίβεια και πληρότητα οι πληροφορίες που αφορούν σε καταστάσεις ενδεχόμενης σύγκρουσης συμφερόντων]</w:t>
      </w:r>
    </w:p>
    <w:p>
      <w:pPr>
        <w:pStyle w:val="Normal"/>
        <w:spacing w:lineRule="auto" w:line="276" w:before="0" w:after="0"/>
        <w:rPr>
          <w:sz w:val="24"/>
          <w:lang w:val="el-GR"/>
        </w:rPr>
      </w:pPr>
      <w:r>
        <w:rPr>
          <w:sz w:val="24"/>
          <w:lang w:val="el-GR"/>
        </w:rPr>
      </w:r>
    </w:p>
    <w:p>
      <w:pPr>
        <w:pStyle w:val="Normal"/>
        <w:spacing w:lineRule="auto" w:line="276" w:before="0" w:after="0"/>
        <w:rPr/>
      </w:pPr>
      <w:r>
        <w:rPr>
          <w:b/>
          <w:sz w:val="24"/>
          <w:lang w:val="el-GR"/>
        </w:rPr>
        <w:t>Παράγραφος 2.2.3.4. περ. ε Διακήρυξης</w:t>
      </w:r>
      <w:r>
        <w:rPr>
          <w:rStyle w:val="Style14"/>
          <w:rStyle w:val="Style14"/>
          <w:rFonts w:cs="Calibri"/>
          <w:b/>
          <w:sz w:val="24"/>
        </w:rPr>
        <w:footnoteReference w:id="98"/>
      </w:r>
    </w:p>
    <w:p>
      <w:pPr>
        <w:pStyle w:val="Normal"/>
        <w:spacing w:lineRule="auto" w:line="276" w:before="0" w:after="0"/>
        <w:rPr>
          <w:sz w:val="24"/>
          <w:lang w:val="el-GR"/>
        </w:rPr>
      </w:pPr>
      <w:r>
        <w:rPr>
          <w:sz w:val="24"/>
          <w:lang w:val="el-GR"/>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pPr>
        <w:pStyle w:val="Normal"/>
        <w:spacing w:lineRule="auto" w:line="276" w:before="0" w:after="0"/>
        <w:rPr/>
      </w:pPr>
      <w:r>
        <w:rPr>
          <w:sz w:val="24"/>
          <w:lang w:val="el-GR"/>
        </w:rPr>
        <w:t xml:space="preserve"> </w:t>
      </w:r>
      <w:r>
        <w:rPr>
          <w:rFonts w:eastAsia="Calibri"/>
          <w:bCs/>
          <w:i/>
          <w:color w:val="5B9BD5"/>
          <w:sz w:val="24"/>
          <w:lang w:val="el-GR" w:eastAsia="ar-SA"/>
        </w:rPr>
        <w:t>Ή</w:t>
      </w:r>
    </w:p>
    <w:p>
      <w:pPr>
        <w:pStyle w:val="Normal"/>
        <w:spacing w:lineRule="auto" w:line="276" w:before="0" w:after="0"/>
        <w:rPr>
          <w:sz w:val="24"/>
          <w:lang w:val="el-GR"/>
        </w:rPr>
      </w:pPr>
      <w:r>
        <w:rPr>
          <w:sz w:val="24"/>
          <w:lang w:val="el-GR"/>
        </w:rPr>
        <w:t>Έχω/έχουμε συμμετάσχει στην προετοιμασία της διαδικασίας σύναψης των εγγράφων της παρούσας σύμβασης με την εξής ιδιότητα….</w:t>
      </w:r>
    </w:p>
    <w:p>
      <w:pPr>
        <w:pStyle w:val="Normal"/>
        <w:spacing w:lineRule="auto" w:line="276" w:before="0" w:after="0"/>
        <w:rPr/>
      </w:pPr>
      <w:r>
        <w:rPr>
          <w:sz w:val="24"/>
          <w:lang w:val="el-GR"/>
        </w:rPr>
        <w:t xml:space="preserve"> </w:t>
      </w:r>
      <w:r>
        <w:rPr>
          <w:rFonts w:eastAsia="Calibri"/>
          <w:bCs/>
          <w:i/>
          <w:color w:val="5B9BD5"/>
          <w:sz w:val="24"/>
          <w:lang w:val="el-GR" w:eastAsia="ar-SA"/>
        </w:rPr>
        <w:t xml:space="preserve">[αναγράφονται με ακρίβεια και πληρότητα οι πληροφορίες που αφορούν στον χρόνο και τον τρόπο πρότερης συμμετοχής] </w:t>
      </w:r>
    </w:p>
    <w:p>
      <w:pPr>
        <w:pStyle w:val="Normal"/>
        <w:spacing w:lineRule="auto" w:line="276" w:before="0" w:after="0"/>
        <w:rPr>
          <w:sz w:val="24"/>
          <w:lang w:val="el-GR"/>
        </w:rPr>
      </w:pPr>
      <w:r>
        <w:rPr>
          <w:sz w:val="24"/>
          <w:lang w:val="el-GR"/>
        </w:rPr>
      </w:r>
    </w:p>
    <w:p>
      <w:pPr>
        <w:pStyle w:val="Normal"/>
        <w:spacing w:lineRule="auto" w:line="276" w:before="0" w:after="0"/>
        <w:rPr/>
      </w:pPr>
      <w:r>
        <w:rPr>
          <w:b/>
          <w:sz w:val="24"/>
          <w:lang w:val="el-GR"/>
        </w:rPr>
        <w:t>Παράγραφος 2.2.3.4. περ. στ Διακήρυξης</w:t>
      </w:r>
      <w:r>
        <w:rPr>
          <w:rStyle w:val="Style14"/>
          <w:rStyle w:val="Style14"/>
          <w:rFonts w:cs="Calibri"/>
          <w:b/>
          <w:sz w:val="24"/>
        </w:rPr>
        <w:footnoteReference w:id="99"/>
      </w:r>
    </w:p>
    <w:p>
      <w:pPr>
        <w:pStyle w:val="Normal"/>
        <w:spacing w:lineRule="auto" w:line="276" w:before="0" w:after="0"/>
        <w:rPr>
          <w:sz w:val="24"/>
          <w:lang w:val="el-GR"/>
        </w:rPr>
      </w:pPr>
      <w:r>
        <w:rPr>
          <w:sz w:val="24"/>
          <w:lang w:val="el-GR"/>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pPr>
        <w:pStyle w:val="Normal"/>
        <w:spacing w:lineRule="auto" w:line="276" w:before="0" w:after="0"/>
        <w:rPr>
          <w:sz w:val="24"/>
          <w:lang w:val="el-GR"/>
        </w:rPr>
      </w:pPr>
      <w:r>
        <w:rPr>
          <w:sz w:val="24"/>
          <w:lang w:val="el-GR"/>
        </w:rPr>
      </w:r>
    </w:p>
    <w:p>
      <w:pPr>
        <w:pStyle w:val="Normal"/>
        <w:spacing w:lineRule="auto" w:line="276" w:before="0" w:after="0"/>
        <w:rPr/>
      </w:pPr>
      <w:r>
        <w:rPr>
          <w:b/>
          <w:sz w:val="24"/>
          <w:lang w:val="el-GR"/>
        </w:rPr>
        <w:t>Παράγραφος 2.2.3.4. περ. ζ Διακήρυξης</w:t>
      </w:r>
      <w:r>
        <w:rPr>
          <w:rStyle w:val="Style14"/>
          <w:rStyle w:val="Style14"/>
          <w:rFonts w:cs="Calibri"/>
          <w:b/>
          <w:sz w:val="24"/>
        </w:rPr>
        <w:footnoteReference w:id="100"/>
      </w:r>
    </w:p>
    <w:p>
      <w:pPr>
        <w:pStyle w:val="Normal"/>
        <w:spacing w:lineRule="auto" w:line="276"/>
        <w:rPr>
          <w:sz w:val="24"/>
          <w:lang w:val="el-GR"/>
        </w:rPr>
      </w:pPr>
      <w:r>
        <w:rPr>
          <w:sz w:val="24"/>
          <w:lang w:val="el-GR"/>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pPr>
        <w:pStyle w:val="Normal"/>
        <w:spacing w:lineRule="auto" w:line="276"/>
        <w:rPr/>
      </w:pPr>
      <w:r>
        <w:rPr>
          <w:b/>
          <w:sz w:val="24"/>
          <w:lang w:val="el-GR"/>
        </w:rPr>
        <w:t>Παράγραφος 2.2.3.4. περ. η Διακήρυξης</w:t>
      </w:r>
      <w:r>
        <w:rPr>
          <w:rStyle w:val="Style14"/>
          <w:rStyle w:val="Style14"/>
          <w:rFonts w:cs="Calibri"/>
          <w:b/>
          <w:sz w:val="24"/>
        </w:rPr>
        <w:footnoteReference w:id="101"/>
      </w:r>
    </w:p>
    <w:p>
      <w:pPr>
        <w:pStyle w:val="Normal"/>
        <w:spacing w:lineRule="auto" w:line="276"/>
        <w:rPr>
          <w:sz w:val="24"/>
          <w:lang w:val="el-GR"/>
        </w:rPr>
      </w:pPr>
      <w:r>
        <w:rPr>
          <w:sz w:val="24"/>
          <w:lang w:val="el-GR"/>
        </w:rPr>
        <w:t>Δεν έχω/έχουμε επιχειρήσει να επηρεάσω/ουμε με αθέμιτο τρόπο τη διαδικασία λήψης αποφάσεων της αναθέτουσας αρχής, να αποκτήσω/ουμε εμπιστευτικές πληροφορίες που ενδέχεται να αποφέρουν αθέμιτο πλεονέκτημα στη διαδικασία σύναψης σύμβασης ή να παράσχω/ουμε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pPr>
        <w:pStyle w:val="Normal"/>
        <w:spacing w:lineRule="auto" w:line="276"/>
        <w:rPr/>
      </w:pPr>
      <w:r>
        <w:rPr>
          <w:b/>
          <w:sz w:val="24"/>
          <w:lang w:val="el-GR"/>
        </w:rPr>
        <w:t>Παράγραφος 2.2.3.4. περ. θ Διακήρυξης</w:t>
      </w:r>
      <w:r>
        <w:rPr>
          <w:rStyle w:val="Style14"/>
          <w:rStyle w:val="Style14"/>
          <w:rFonts w:cs="Calibri"/>
          <w:b/>
          <w:sz w:val="24"/>
        </w:rPr>
        <w:footnoteReference w:id="102"/>
      </w:r>
    </w:p>
    <w:p>
      <w:pPr>
        <w:pStyle w:val="Normal"/>
        <w:spacing w:lineRule="auto" w:line="276"/>
        <w:rPr>
          <w:sz w:val="24"/>
          <w:lang w:val="el-GR"/>
        </w:rPr>
      </w:pPr>
      <w:r>
        <w:rPr>
          <w:sz w:val="24"/>
          <w:lang w:val="el-GR"/>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pPr>
        <w:pStyle w:val="Normal"/>
        <w:spacing w:lineRule="auto" w:line="276"/>
        <w:rPr>
          <w:b/>
          <w:b/>
          <w:sz w:val="24"/>
          <w:lang w:val="el-GR"/>
        </w:rPr>
      </w:pPr>
      <w:r>
        <w:rPr>
          <w:b/>
          <w:sz w:val="24"/>
          <w:lang w:val="el-GR"/>
        </w:rPr>
        <w:t>Παράγραφος 2.2.3.9. διακήρυξης:</w:t>
      </w:r>
    </w:p>
    <w:p>
      <w:pPr>
        <w:pStyle w:val="Normal"/>
        <w:spacing w:lineRule="auto" w:line="276"/>
        <w:rPr>
          <w:sz w:val="24"/>
          <w:lang w:val="el-GR"/>
        </w:rPr>
      </w:pPr>
      <w:r>
        <w:rPr>
          <w:sz w:val="24"/>
          <w:lang w:val="el-GR"/>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pPr>
        <w:pStyle w:val="Normal"/>
        <w:spacing w:lineRule="auto" w:line="276"/>
        <w:rPr/>
      </w:pPr>
      <w:r>
        <w:rPr>
          <w:sz w:val="24"/>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Pr>
          <w:rFonts w:eastAsia="Calibri"/>
          <w:bCs/>
          <w:i/>
          <w:color w:val="5B9BD5"/>
          <w:sz w:val="24"/>
          <w:lang w:val="el-GR" w:eastAsia="ar-SA"/>
        </w:rPr>
        <w:t>[αναφέρεται αριθμός και ημερομηνία απόφασης καθώς και πληροφορίες για την κύρια δίκη]</w:t>
      </w:r>
      <w:r>
        <w:rPr>
          <w:sz w:val="24"/>
          <w:lang w:val="el-GR"/>
        </w:rPr>
        <w:t xml:space="preserve"> </w:t>
      </w:r>
    </w:p>
    <w:p>
      <w:pPr>
        <w:pStyle w:val="Normal"/>
        <w:spacing w:lineRule="auto" w:line="276"/>
        <w:rPr>
          <w:b/>
          <w:b/>
          <w:sz w:val="24"/>
          <w:lang w:val="el-GR"/>
        </w:rPr>
      </w:pPr>
      <w:r>
        <w:rPr>
          <w:b/>
          <w:sz w:val="24"/>
          <w:lang w:val="el-GR"/>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p>
    <w:p>
      <w:pPr>
        <w:pStyle w:val="Normal"/>
        <w:spacing w:lineRule="auto" w:line="276"/>
        <w:rPr>
          <w:b/>
          <w:b/>
          <w:sz w:val="24"/>
          <w:u w:val="single"/>
          <w:lang w:val="el-GR"/>
        </w:rPr>
      </w:pPr>
      <w:r>
        <w:rPr>
          <w:b/>
          <w:sz w:val="24"/>
          <w:u w:val="single"/>
          <w:lang w:val="el-GR"/>
        </w:rPr>
      </w:r>
    </w:p>
    <w:p>
      <w:pPr>
        <w:pStyle w:val="Normal"/>
        <w:spacing w:lineRule="auto" w:line="276"/>
        <w:rPr/>
      </w:pPr>
      <w:r>
        <w:rPr>
          <w:b/>
          <w:sz w:val="24"/>
          <w:u w:val="single"/>
          <w:lang w:val="el-GR"/>
        </w:rPr>
        <w:t>ΔΗΛΩΣΗ ΟΨΙΓΕΝΩΝ ΜΕΤΑΒΟΛΩΝ</w:t>
      </w:r>
      <w:r>
        <w:rPr>
          <w:rStyle w:val="Style14"/>
          <w:rStyle w:val="Style14"/>
          <w:rFonts w:cs="Calibri"/>
          <w:b/>
          <w:sz w:val="24"/>
          <w:u w:val="single"/>
        </w:rPr>
        <w:footnoteReference w:id="103"/>
      </w:r>
    </w:p>
    <w:p>
      <w:pPr>
        <w:pStyle w:val="Normal"/>
        <w:spacing w:lineRule="auto" w:line="276"/>
        <w:rPr>
          <w:sz w:val="24"/>
          <w:lang w:val="el-GR"/>
        </w:rPr>
      </w:pPr>
      <w:r>
        <w:rPr>
          <w:sz w:val="24"/>
          <w:lang w:val="el-GR"/>
        </w:rPr>
        <w:t xml:space="preserve">Δεν έχουν επέλθει στο πρόσωπό μου/μας οψιγενείς μεταβολές κατά την έννοια του άρθρου 104 του Ν. 4412/2016. </w:t>
      </w:r>
    </w:p>
    <w:p>
      <w:pPr>
        <w:pStyle w:val="Normal"/>
        <w:spacing w:lineRule="auto" w:line="276"/>
        <w:rPr>
          <w:sz w:val="24"/>
          <w:u w:val="single"/>
          <w:lang w:val="el-GR"/>
        </w:rPr>
      </w:pPr>
      <w:r>
        <w:rPr>
          <w:sz w:val="24"/>
          <w:u w:val="single"/>
          <w:lang w:val="el-GR"/>
        </w:rPr>
        <w:t>ΔΗΛΩΣΗ</w:t>
      </w:r>
    </w:p>
    <w:p>
      <w:pPr>
        <w:pStyle w:val="Normal"/>
        <w:spacing w:lineRule="auto" w:line="276"/>
        <w:rPr>
          <w:sz w:val="24"/>
          <w:lang w:val="el-GR"/>
        </w:rPr>
      </w:pPr>
      <w:r>
        <w:rPr>
          <w:sz w:val="24"/>
          <w:lang w:val="el-GR"/>
        </w:rPr>
        <w:t xml:space="preserve">Συναινώ/ούμε στο πλαίσιο της διαδικασίας ανάθεσης της παρούσας δημόσιας σύμβασης και επιτρέπω στην αναθέτουσα αρχή ………………………….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pPr>
        <w:pStyle w:val="Normal"/>
        <w:spacing w:lineRule="auto" w:line="276"/>
        <w:rPr>
          <w:sz w:val="24"/>
          <w:lang w:val="el-GR"/>
        </w:rPr>
      </w:pPr>
      <w:r>
        <w:rPr>
          <w:sz w:val="24"/>
          <w:lang w:val="el-GR"/>
        </w:rPr>
      </w:r>
    </w:p>
    <w:p>
      <w:pPr>
        <w:pStyle w:val="2"/>
        <w:spacing w:lineRule="auto" w:line="276"/>
        <w:ind w:left="567" w:right="0" w:hanging="567"/>
        <w:rPr>
          <w:rFonts w:ascii="Calibri" w:hAnsi="Calibri" w:eastAsia="Arial Unicode MS" w:cs="Calibri"/>
          <w:sz w:val="24"/>
          <w:szCs w:val="24"/>
          <w:lang w:val="el-GR"/>
        </w:rPr>
      </w:pPr>
      <w:r>
        <w:rPr>
          <w:rFonts w:eastAsia="Arial Unicode MS" w:cs="Calibri" w:ascii="Calibri" w:hAnsi="Calibri"/>
          <w:sz w:val="24"/>
          <w:szCs w:val="24"/>
          <w:lang w:val="el-GR"/>
        </w:rPr>
      </w:r>
      <w:r>
        <w:br w:type="page"/>
      </w:r>
    </w:p>
    <w:p>
      <w:pPr>
        <w:pStyle w:val="2"/>
        <w:spacing w:lineRule="auto" w:line="276"/>
        <w:ind w:left="567" w:right="0" w:hanging="567"/>
        <w:rPr/>
      </w:pPr>
      <w:bookmarkStart w:id="228" w:name="__RefHeading___Toc35681_1890191151"/>
      <w:bookmarkStart w:id="229" w:name="_Toc75718050"/>
      <w:bookmarkStart w:id="230" w:name="_Toc127963109"/>
      <w:bookmarkEnd w:id="228"/>
      <w:r>
        <w:rPr>
          <w:rFonts w:eastAsia="Arial Unicode MS" w:cs="Calibri" w:ascii="Calibri" w:hAnsi="Calibri"/>
          <w:sz w:val="24"/>
          <w:szCs w:val="24"/>
          <w:lang w:val="el-GR"/>
        </w:rPr>
        <w:t xml:space="preserve">ΠΑΡΑΡΤΗΜΑ </w:t>
      </w:r>
      <w:r>
        <w:rPr>
          <w:rFonts w:eastAsia="Arial Unicode MS" w:cs="Calibri" w:ascii="Calibri" w:hAnsi="Calibri"/>
          <w:sz w:val="24"/>
          <w:szCs w:val="24"/>
        </w:rPr>
        <w:t>V</w:t>
      </w:r>
      <w:r>
        <w:rPr>
          <w:rFonts w:eastAsia="Arial Unicode MS" w:cs="Calibri" w:ascii="Calibri" w:hAnsi="Calibri"/>
          <w:sz w:val="24"/>
          <w:szCs w:val="24"/>
          <w:lang w:val="el-GR"/>
        </w:rPr>
        <w:t>Ι – Υπόδειγμα Τυποποιημένου Εντύπου Προδικαστικής Προσφυγής</w:t>
      </w:r>
      <w:bookmarkEnd w:id="229"/>
      <w:bookmarkEnd w:id="230"/>
      <w:r>
        <w:rPr>
          <w:rFonts w:eastAsia="Arial Unicode MS" w:cs="Calibri" w:ascii="Calibri" w:hAnsi="Calibri"/>
          <w:sz w:val="24"/>
          <w:szCs w:val="24"/>
          <w:lang w:val="el-GR"/>
        </w:rPr>
        <w:t xml:space="preserve"> </w:t>
      </w:r>
    </w:p>
    <w:p>
      <w:pPr>
        <w:pStyle w:val="Normal"/>
        <w:spacing w:lineRule="auto" w:line="276" w:before="0" w:after="0"/>
        <w:rPr>
          <w:rFonts w:eastAsia="Arial Unicode MS"/>
          <w:sz w:val="24"/>
          <w:lang w:val="el-GR"/>
        </w:rPr>
      </w:pPr>
      <w:r>
        <w:rPr>
          <w:rFonts w:eastAsia="Arial Unicode MS"/>
          <w:sz w:val="24"/>
          <w:lang w:val="el-GR"/>
        </w:rPr>
      </w:r>
    </w:p>
    <w:tbl>
      <w:tblPr>
        <w:tblW w:w="2835" w:type="dxa"/>
        <w:jc w:val="center"/>
        <w:tblInd w:w="0" w:type="dxa"/>
        <w:tblCellMar>
          <w:top w:w="0" w:type="dxa"/>
          <w:left w:w="108" w:type="dxa"/>
          <w:bottom w:w="0" w:type="dxa"/>
          <w:right w:w="108" w:type="dxa"/>
        </w:tblCellMar>
      </w:tblPr>
      <w:tblGrid>
        <w:gridCol w:w="2835"/>
      </w:tblGrid>
      <w:tr>
        <w:trPr/>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center"/>
              <w:rPr>
                <w:rFonts w:eastAsia="Arial Unicode MS"/>
                <w:sz w:val="24"/>
              </w:rPr>
            </w:pPr>
            <w:r>
              <w:rPr>
                <w:rFonts w:eastAsia="Arial Unicode MS"/>
                <w:sz w:val="24"/>
              </w:rPr>
              <w:t>Αριθμός Προσφυγής</w:t>
            </w:r>
          </w:p>
          <w:p>
            <w:pPr>
              <w:pStyle w:val="Normal"/>
              <w:spacing w:lineRule="auto" w:line="276" w:before="0" w:after="0"/>
              <w:jc w:val="center"/>
              <w:rPr/>
            </w:pPr>
            <w:r>
              <w:rPr>
                <w:rFonts w:eastAsia="Arial Unicode MS"/>
                <w:sz w:val="24"/>
              </w:rPr>
              <w:t xml:space="preserve">                     </w:t>
            </w:r>
            <w:r>
              <w:rPr>
                <w:rFonts w:eastAsia="Arial Unicode MS"/>
                <w:sz w:val="24"/>
              </w:rPr>
              <w:t>/2</w:t>
            </w:r>
            <w:r>
              <w:rPr>
                <w:rFonts w:eastAsia="Arial Unicode MS"/>
                <w:sz w:val="24"/>
                <w:lang w:val="el-GR"/>
              </w:rPr>
              <w:t>3</w:t>
            </w:r>
          </w:p>
        </w:tc>
      </w:tr>
    </w:tbl>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b/>
          <w:b/>
          <w:spacing w:val="20"/>
          <w:sz w:val="24"/>
          <w:lang w:val="el-GR"/>
        </w:rPr>
      </w:pPr>
      <w:r>
        <w:rPr>
          <w:rFonts w:eastAsia="Arial Unicode MS"/>
          <w:b/>
          <w:spacing w:val="20"/>
          <w:sz w:val="24"/>
          <w:lang w:val="el-GR"/>
        </w:rPr>
        <w:t>ΠΡΟΣΦΥΓΗ</w:t>
      </w:r>
    </w:p>
    <w:p>
      <w:pPr>
        <w:pStyle w:val="Normal"/>
        <w:spacing w:lineRule="auto" w:line="276" w:before="0" w:after="0"/>
        <w:jc w:val="center"/>
        <w:rPr>
          <w:rFonts w:eastAsia="Arial Unicode MS"/>
          <w:b/>
          <w:b/>
          <w:spacing w:val="20"/>
          <w:sz w:val="24"/>
          <w:lang w:val="el-GR"/>
        </w:rPr>
      </w:pPr>
      <w:r>
        <w:rPr>
          <w:rFonts w:eastAsia="Arial Unicode MS"/>
          <w:b/>
          <w:spacing w:val="20"/>
          <w:sz w:val="24"/>
          <w:lang w:val="el-GR"/>
        </w:rPr>
        <w:t>ΕΝΩΠΙΟΝ ΤΗΣ Ε.Α.ΔΗ.ΣΥ .</w:t>
      </w:r>
    </w:p>
    <w:p>
      <w:pPr>
        <w:pStyle w:val="Normal"/>
        <w:spacing w:lineRule="auto" w:line="276" w:before="0" w:after="0"/>
        <w:rPr>
          <w:rFonts w:eastAsia="Arial Unicode MS"/>
          <w:b/>
          <w:b/>
          <w:spacing w:val="20"/>
          <w:sz w:val="24"/>
          <w:lang w:val="el-GR"/>
        </w:rPr>
      </w:pPr>
      <w:r>
        <w:rPr>
          <w:rFonts w:eastAsia="Arial Unicode MS"/>
          <w:b/>
          <w:spacing w:val="20"/>
          <w:sz w:val="24"/>
          <w:lang w:val="el-GR"/>
        </w:rPr>
      </w:r>
    </w:p>
    <w:tbl>
      <w:tblPr>
        <w:tblW w:w="8296" w:type="dxa"/>
        <w:jc w:val="center"/>
        <w:tblInd w:w="0" w:type="dxa"/>
        <w:tblCellMar>
          <w:top w:w="0" w:type="dxa"/>
          <w:left w:w="108" w:type="dxa"/>
          <w:bottom w:w="0" w:type="dxa"/>
          <w:right w:w="108" w:type="dxa"/>
        </w:tblCellMar>
      </w:tblPr>
      <w:tblGrid>
        <w:gridCol w:w="8296"/>
      </w:tblGrid>
      <w:tr>
        <w:trPr/>
        <w:tc>
          <w:tcPr>
            <w:tcW w:w="8296" w:type="dxa"/>
            <w:tcBorders>
              <w:top w:val="single" w:sz="4" w:space="0" w:color="000000"/>
              <w:left w:val="single" w:sz="4" w:space="0" w:color="000000"/>
              <w:right w:val="single" w:sz="4" w:space="0" w:color="000000"/>
            </w:tcBorders>
            <w:shd w:color="auto" w:fill="auto" w:val="clear"/>
          </w:tcPr>
          <w:p>
            <w:pPr>
              <w:pStyle w:val="Normal"/>
              <w:spacing w:before="0" w:after="0"/>
              <w:ind w:left="170" w:right="0" w:hanging="0"/>
              <w:contextualSpacing/>
              <w:rPr>
                <w:rFonts w:eastAsia="Arial Unicode MS" w:cs="Calibri"/>
                <w:sz w:val="24"/>
                <w:szCs w:val="24"/>
              </w:rPr>
            </w:pPr>
            <w:r>
              <w:rPr>
                <w:rFonts w:eastAsia="Arial Unicode MS" w:cs="Calibri"/>
                <w:sz w:val="24"/>
                <w:szCs w:val="24"/>
              </w:rPr>
              <w:t>(1) ΣΤΟΙΧΕΙΑ ΠΡΟΣΦΕΥΓΟΝΤΟΣ</w:t>
            </w:r>
          </w:p>
          <w:p>
            <w:pPr>
              <w:pStyle w:val="Normal"/>
              <w:spacing w:lineRule="auto" w:line="276" w:before="0" w:after="0"/>
              <w:rPr>
                <w:rFonts w:eastAsia="Arial Unicode MS"/>
                <w:sz w:val="24"/>
                <w:lang w:val="el-GR"/>
              </w:rPr>
            </w:pPr>
            <w:r>
              <w:rPr>
                <w:rFonts w:eastAsia="Arial Unicode MS"/>
                <w:sz w:val="24"/>
                <w:lang w:val="el-GR"/>
              </w:rPr>
              <w:t>Ονομασία φυσικού ή νομικού προσώπου που ασκεί την Προσφυγή:</w:t>
            </w:r>
          </w:p>
          <w:p>
            <w:pPr>
              <w:pStyle w:val="Normal"/>
              <w:spacing w:lineRule="auto" w:line="276" w:before="0" w:after="0"/>
              <w:rPr>
                <w:rFonts w:eastAsia="Arial Unicode MS"/>
                <w:sz w:val="24"/>
                <w:lang w:val="el-GR"/>
              </w:rPr>
            </w:pPr>
            <w:r>
              <w:rPr>
                <w:rFonts w:eastAsia="Arial Unicode MS"/>
                <w:sz w:val="24"/>
                <w:lang w:val="el-GR"/>
              </w:rPr>
              <w:t>Διεύθυνση : ________________________________________________________</w:t>
            </w:r>
          </w:p>
          <w:p>
            <w:pPr>
              <w:pStyle w:val="Normal"/>
              <w:spacing w:lineRule="auto" w:line="276" w:before="0" w:after="0"/>
              <w:rPr>
                <w:rFonts w:eastAsia="Arial Unicode MS"/>
                <w:sz w:val="24"/>
                <w:lang w:val="el-GR"/>
              </w:rPr>
            </w:pPr>
            <w:r>
              <w:rPr>
                <w:rFonts w:eastAsia="Arial Unicode MS"/>
                <w:sz w:val="24"/>
                <w:lang w:val="el-GR"/>
              </w:rPr>
              <w:t>Αρ. Τηλεφώνου : ______________________  Αρ. Φαξ : _____________________</w:t>
            </w:r>
          </w:p>
          <w:p>
            <w:pPr>
              <w:pStyle w:val="Normal"/>
              <w:spacing w:lineRule="auto" w:line="276" w:before="0" w:after="0"/>
              <w:rPr/>
            </w:pPr>
            <w:r>
              <w:rPr>
                <w:rFonts w:eastAsia="Arial Unicode MS"/>
                <w:sz w:val="24"/>
                <w:lang w:val="en-US"/>
              </w:rPr>
              <w:t>e</w:t>
            </w:r>
            <w:r>
              <w:rPr>
                <w:rFonts w:eastAsia="Arial Unicode MS"/>
                <w:sz w:val="24"/>
              </w:rPr>
              <w:t>-</w:t>
            </w:r>
            <w:r>
              <w:rPr>
                <w:rFonts w:eastAsia="Arial Unicode MS"/>
                <w:sz w:val="24"/>
                <w:lang w:val="en-US"/>
              </w:rPr>
              <w:t>mail</w:t>
            </w:r>
            <w:r>
              <w:rPr>
                <w:rFonts w:eastAsia="Arial Unicode MS"/>
                <w:sz w:val="24"/>
              </w:rPr>
              <w:t xml:space="preserve"> : ______________________</w:t>
            </w:r>
          </w:p>
        </w:tc>
      </w:tr>
      <w:tr>
        <w:trPr/>
        <w:tc>
          <w:tcPr>
            <w:tcW w:w="8296" w:type="dxa"/>
            <w:tcBorders>
              <w:left w:val="single" w:sz="4" w:space="0" w:color="000000"/>
              <w:bottom w:val="single" w:sz="4" w:space="0" w:color="000000"/>
              <w:right w:val="single" w:sz="4" w:space="0" w:color="000000"/>
            </w:tcBorders>
            <w:shd w:color="auto" w:fill="auto" w:val="clear"/>
          </w:tcPr>
          <w:p>
            <w:pPr>
              <w:pStyle w:val="Normal"/>
              <w:spacing w:before="0" w:after="0"/>
              <w:ind w:left="360" w:right="0" w:hanging="0"/>
              <w:contextualSpacing/>
              <w:rPr>
                <w:rFonts w:eastAsia="Arial Unicode MS" w:cs="Calibri"/>
                <w:sz w:val="24"/>
                <w:szCs w:val="24"/>
              </w:rPr>
            </w:pPr>
            <w:r>
              <w:rPr>
                <w:rFonts w:eastAsia="Arial Unicode MS" w:cs="Calibri"/>
                <w:sz w:val="24"/>
                <w:szCs w:val="24"/>
              </w:rPr>
              <w:t>(2) ΑΝΑΘΕΤΟΥΣΑ ΑΡΧΗ</w:t>
            </w:r>
          </w:p>
          <w:p>
            <w:pPr>
              <w:pStyle w:val="Normal"/>
              <w:spacing w:lineRule="auto" w:line="276" w:before="0" w:after="0"/>
              <w:rPr>
                <w:rFonts w:eastAsia="Arial Unicode MS"/>
                <w:sz w:val="24"/>
                <w:lang w:val="el-GR"/>
              </w:rPr>
            </w:pPr>
            <w:r>
              <w:rPr>
                <w:rFonts w:eastAsia="Arial Unicode MS"/>
                <w:sz w:val="24"/>
                <w:lang w:val="el-GR"/>
              </w:rPr>
              <w:t>Ονομασία : _________________________________________________________</w:t>
            </w:r>
          </w:p>
          <w:p>
            <w:pPr>
              <w:pStyle w:val="Normal"/>
              <w:spacing w:lineRule="auto" w:line="276" w:before="0" w:after="0"/>
              <w:rPr>
                <w:rFonts w:eastAsia="Arial Unicode MS"/>
                <w:sz w:val="24"/>
                <w:lang w:val="el-GR"/>
              </w:rPr>
            </w:pPr>
            <w:r>
              <w:rPr>
                <w:rFonts w:eastAsia="Arial Unicode MS"/>
                <w:sz w:val="24"/>
                <w:lang w:val="el-GR"/>
              </w:rPr>
              <w:t>Διεύθυνση : _________________________________________________________</w:t>
            </w:r>
          </w:p>
          <w:p>
            <w:pPr>
              <w:pStyle w:val="Normal"/>
              <w:spacing w:lineRule="auto" w:line="276" w:before="0" w:after="0"/>
              <w:rPr>
                <w:rFonts w:eastAsia="Arial Unicode MS"/>
                <w:sz w:val="24"/>
                <w:lang w:val="el-GR"/>
              </w:rPr>
            </w:pPr>
            <w:r>
              <w:rPr>
                <w:rFonts w:eastAsia="Arial Unicode MS"/>
                <w:sz w:val="24"/>
                <w:lang w:val="el-GR"/>
              </w:rPr>
              <w:t>Αρ. Τηλεφώνου : _________________________ Αρ. Φαξ : ___________________</w:t>
            </w:r>
          </w:p>
          <w:p>
            <w:pPr>
              <w:pStyle w:val="Normal"/>
              <w:spacing w:lineRule="auto" w:line="276" w:before="0" w:after="0"/>
              <w:rPr/>
            </w:pPr>
            <w:r>
              <w:rPr>
                <w:rFonts w:eastAsia="Arial Unicode MS"/>
                <w:sz w:val="24"/>
                <w:lang w:val="en-US"/>
              </w:rPr>
              <w:t>e</w:t>
            </w:r>
            <w:r>
              <w:rPr>
                <w:rFonts w:eastAsia="Arial Unicode MS"/>
                <w:sz w:val="24"/>
                <w:lang w:val="el-GR"/>
              </w:rPr>
              <w:t>-</w:t>
            </w:r>
            <w:r>
              <w:rPr>
                <w:rFonts w:eastAsia="Arial Unicode MS"/>
                <w:sz w:val="24"/>
                <w:lang w:val="en-US"/>
              </w:rPr>
              <w:t>mail</w:t>
            </w:r>
            <w:r>
              <w:rPr>
                <w:rFonts w:eastAsia="Arial Unicode MS"/>
                <w:sz w:val="24"/>
                <w:lang w:val="el-GR"/>
              </w:rPr>
              <w:t xml:space="preserve"> : ___________________________</w:t>
            </w:r>
          </w:p>
        </w:tc>
      </w:tr>
    </w:tbl>
    <w:p>
      <w:pPr>
        <w:pStyle w:val="Normal"/>
        <w:spacing w:lineRule="auto" w:line="276" w:before="0" w:after="0"/>
        <w:rPr>
          <w:rFonts w:eastAsia="Arial Unicode MS"/>
          <w:sz w:val="24"/>
          <w:lang w:val="el-GR"/>
        </w:rPr>
      </w:pPr>
      <w:r>
        <w:rPr>
          <w:rFonts w:eastAsia="Arial Unicode MS"/>
          <w:sz w:val="24"/>
          <w:lang w:val="el-GR"/>
        </w:rPr>
      </w:r>
    </w:p>
    <w:tbl>
      <w:tblPr>
        <w:tblW w:w="9215" w:type="dxa"/>
        <w:jc w:val="center"/>
        <w:tblInd w:w="0" w:type="dxa"/>
        <w:tblCellMar>
          <w:top w:w="0" w:type="dxa"/>
          <w:left w:w="108" w:type="dxa"/>
          <w:bottom w:w="0" w:type="dxa"/>
          <w:right w:w="108" w:type="dxa"/>
        </w:tblCellMar>
      </w:tblPr>
      <w:tblGrid>
        <w:gridCol w:w="4578"/>
        <w:gridCol w:w="4636"/>
      </w:tblGrid>
      <w:tr>
        <w:trPr/>
        <w:tc>
          <w:tcPr>
            <w:tcW w:w="45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ind w:left="1080" w:right="0" w:hanging="0"/>
              <w:contextualSpacing/>
              <w:jc w:val="center"/>
              <w:rPr/>
            </w:pPr>
            <w:r>
              <w:rPr>
                <w:rFonts w:eastAsia="Arial Unicode MS" w:cs="Calibri"/>
                <w:sz w:val="24"/>
                <w:szCs w:val="24"/>
                <w:lang w:val="en-US"/>
              </w:rPr>
              <w:t xml:space="preserve">(3) </w:t>
            </w:r>
            <w:r>
              <w:rPr>
                <w:rFonts w:eastAsia="Arial Unicode MS" w:cs="Calibri"/>
                <w:sz w:val="24"/>
                <w:szCs w:val="24"/>
              </w:rPr>
              <w:t>ΑΡΙΘΜΟΣ ΠΡΟΚΗΡΥΞΗΣ ΣΥΜΒΑΣΗΣ</w:t>
            </w:r>
          </w:p>
          <w:p>
            <w:pPr>
              <w:pStyle w:val="Normal"/>
              <w:spacing w:lineRule="auto" w:line="276" w:before="0" w:after="0"/>
              <w:rPr>
                <w:rFonts w:eastAsia="Arial Unicode MS"/>
                <w:sz w:val="24"/>
                <w:lang w:val="en-US"/>
              </w:rPr>
            </w:pPr>
            <w:r>
              <w:rPr>
                <w:rFonts w:eastAsia="Arial Unicode MS"/>
                <w:sz w:val="24"/>
                <w:lang w:val="en-US"/>
              </w:rPr>
            </w:r>
          </w:p>
          <w:p>
            <w:pPr>
              <w:pStyle w:val="Normal"/>
              <w:spacing w:lineRule="auto" w:line="276" w:before="0" w:after="0"/>
              <w:rPr>
                <w:rFonts w:eastAsia="Arial Unicode MS"/>
                <w:sz w:val="24"/>
                <w:lang w:val="en-US"/>
              </w:rPr>
            </w:pPr>
            <w:r>
              <w:rPr>
                <w:rFonts w:eastAsia="Arial Unicode MS"/>
                <w:sz w:val="24"/>
                <w:lang w:val="en-US"/>
              </w:rPr>
            </w:r>
          </w:p>
        </w:tc>
        <w:tc>
          <w:tcPr>
            <w:tcW w:w="46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center"/>
              <w:rPr>
                <w:rFonts w:eastAsia="Arial Unicode MS"/>
                <w:sz w:val="24"/>
                <w:lang w:val="el-GR"/>
              </w:rPr>
            </w:pPr>
            <w:r>
              <w:rPr>
                <w:rFonts w:eastAsia="Arial Unicode MS"/>
                <w:sz w:val="24"/>
                <w:lang w:val="el-GR"/>
              </w:rPr>
              <w:t>(5) ΠΡΟΫΠΟΛΟΓΙΖΟΜΕΝΗ ΔΑΠΑΝΗ</w:t>
            </w:r>
          </w:p>
          <w:p>
            <w:pPr>
              <w:pStyle w:val="Normal"/>
              <w:spacing w:lineRule="auto" w:line="276" w:before="0" w:after="0"/>
              <w:jc w:val="center"/>
              <w:rPr>
                <w:rFonts w:eastAsia="Arial Unicode MS"/>
                <w:sz w:val="24"/>
                <w:lang w:val="el-GR"/>
              </w:rPr>
            </w:pPr>
            <w:r>
              <w:rPr>
                <w:rFonts w:eastAsia="Arial Unicode MS"/>
                <w:sz w:val="24"/>
                <w:lang w:val="el-GR"/>
              </w:rPr>
              <w:t>ΣΥΜΦΩΝΑ ΜΕ ΤΗ ΣΥΜΒΑΣΗ</w:t>
            </w:r>
          </w:p>
        </w:tc>
      </w:tr>
      <w:tr>
        <w:trPr/>
        <w:tc>
          <w:tcPr>
            <w:tcW w:w="45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ind w:left="360" w:right="0" w:hanging="0"/>
              <w:contextualSpacing/>
              <w:jc w:val="center"/>
              <w:rPr>
                <w:rFonts w:eastAsia="Arial Unicode MS" w:cs="Calibri"/>
                <w:sz w:val="24"/>
                <w:szCs w:val="24"/>
              </w:rPr>
            </w:pPr>
            <w:r>
              <w:rPr>
                <w:rFonts w:eastAsia="Arial Unicode MS" w:cs="Calibri"/>
                <w:sz w:val="24"/>
                <w:szCs w:val="24"/>
              </w:rPr>
              <w:t>(4) ΚΑΤΗΓΟΡΙΑ ΣΥΜΒΑΣΗΣ</w:t>
            </w:r>
          </w:p>
          <w:p>
            <w:pPr>
              <w:pStyle w:val="Normal"/>
              <w:spacing w:before="0" w:after="0"/>
              <w:ind w:left="360" w:right="0" w:hanging="420"/>
              <w:jc w:val="center"/>
              <w:rPr>
                <w:rFonts w:eastAsia="Arial Unicode MS" w:cs="Calibri"/>
                <w:sz w:val="24"/>
                <w:szCs w:val="24"/>
              </w:rPr>
            </w:pPr>
            <w:r>
              <w:rPr>
                <w:rFonts w:eastAsia="Arial Unicode MS" w:cs="Calibri"/>
                <w:sz w:val="24"/>
                <w:szCs w:val="24"/>
              </w:rPr>
              <w:t>(ΕΡΓΟ, ΠΡΟΜΗΘΕΙΕΣ, ΥΠΗΡΕΣΙΕΣ)</w:t>
            </w:r>
          </w:p>
          <w:p>
            <w:pPr>
              <w:pStyle w:val="Normal"/>
              <w:spacing w:before="0" w:after="0"/>
              <w:ind w:left="360" w:right="0" w:hanging="420"/>
              <w:jc w:val="center"/>
              <w:rPr>
                <w:rFonts w:eastAsia="Arial Unicode MS" w:cs="Calibri"/>
                <w:sz w:val="24"/>
                <w:szCs w:val="24"/>
              </w:rPr>
            </w:pPr>
            <w:r>
              <w:rPr>
                <w:rFonts w:eastAsia="Arial Unicode MS" w:cs="Calibri"/>
                <w:sz w:val="24"/>
                <w:szCs w:val="24"/>
              </w:rPr>
            </w:r>
          </w:p>
        </w:tc>
        <w:tc>
          <w:tcPr>
            <w:tcW w:w="46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center"/>
              <w:rPr>
                <w:rFonts w:eastAsia="Arial Unicode MS"/>
                <w:sz w:val="24"/>
              </w:rPr>
            </w:pPr>
            <w:r>
              <w:rPr>
                <w:rFonts w:eastAsia="Arial Unicode MS"/>
                <w:sz w:val="24"/>
              </w:rPr>
              <w:t>(6) ΠΟΣΟ ΚΑΤΑΚΥΡΩΘΕΙΣΑΣ ΠΡΟΣΦΟΡΑΣ</w:t>
            </w:r>
          </w:p>
        </w:tc>
      </w:tr>
      <w:tr>
        <w:trPr/>
        <w:tc>
          <w:tcPr>
            <w:tcW w:w="45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center"/>
              <w:rPr>
                <w:rFonts w:eastAsia="Arial Unicode MS"/>
                <w:sz w:val="24"/>
                <w:lang w:val="el-GR"/>
              </w:rPr>
            </w:pPr>
            <w:r>
              <w:rPr>
                <w:rFonts w:eastAsia="Arial Unicode MS"/>
                <w:sz w:val="24"/>
                <w:lang w:val="el-GR"/>
              </w:rPr>
              <w:t>(7) ΠΑΡΑΒΟΛΟ ΚΑΙ ΠΡΑΞΗ ΕΞΟΦΛΗΣΗΣ</w:t>
            </w:r>
          </w:p>
          <w:p>
            <w:pPr>
              <w:pStyle w:val="Normal"/>
              <w:spacing w:lineRule="auto" w:line="276" w:before="0" w:after="0"/>
              <w:jc w:val="center"/>
              <w:rPr>
                <w:rFonts w:eastAsia="Arial Unicode MS"/>
                <w:sz w:val="24"/>
                <w:lang w:val="el-GR"/>
              </w:rPr>
            </w:pPr>
            <w:r>
              <w:rPr>
                <w:rFonts w:eastAsia="Arial Unicode MS"/>
                <w:sz w:val="24"/>
                <w:lang w:val="el-GR"/>
              </w:rPr>
              <w:t>ΠΑΡΑΒΟΛΟΥ</w:t>
            </w:r>
          </w:p>
          <w:p>
            <w:pPr>
              <w:pStyle w:val="Normal"/>
              <w:spacing w:lineRule="auto" w:line="276" w:before="0" w:after="0"/>
              <w:jc w:val="center"/>
              <w:rPr>
                <w:rFonts w:eastAsia="Arial Unicode MS"/>
                <w:sz w:val="24"/>
                <w:lang w:val="el-GR"/>
              </w:rPr>
            </w:pPr>
            <w:r>
              <w:rPr>
                <w:rFonts w:eastAsia="Arial Unicode MS"/>
                <w:sz w:val="24"/>
                <w:lang w:val="el-GR"/>
              </w:rPr>
              <w:t>(επισυνάπτεται στο παρόν έντυπο)</w:t>
            </w:r>
          </w:p>
          <w:p>
            <w:pPr>
              <w:pStyle w:val="Normal"/>
              <w:spacing w:lineRule="auto" w:line="276" w:before="0" w:after="0"/>
              <w:jc w:val="center"/>
              <w:rPr>
                <w:rFonts w:eastAsia="Arial Unicode MS"/>
                <w:sz w:val="24"/>
                <w:lang w:val="el-GR"/>
              </w:rPr>
            </w:pPr>
            <w:r>
              <w:rPr>
                <w:rFonts w:eastAsia="Arial Unicode MS"/>
                <w:sz w:val="24"/>
                <w:lang w:val="el-GR"/>
              </w:rPr>
            </w:r>
          </w:p>
        </w:tc>
        <w:tc>
          <w:tcPr>
            <w:tcW w:w="46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center"/>
              <w:rPr>
                <w:rFonts w:eastAsia="Arial Unicode MS"/>
                <w:sz w:val="24"/>
                <w:lang w:val="el-GR"/>
              </w:rPr>
            </w:pPr>
            <w:r>
              <w:rPr>
                <w:rFonts w:eastAsia="Arial Unicode MS"/>
                <w:sz w:val="24"/>
                <w:lang w:val="el-GR"/>
              </w:rPr>
              <w:t xml:space="preserve">(8) ΕΞΟΥΣΙΟΔΟΤΗΣΗ ΣΕ ΠΕΡΙΠΤΩΣΗ </w:t>
            </w:r>
          </w:p>
          <w:p>
            <w:pPr>
              <w:pStyle w:val="Normal"/>
              <w:spacing w:lineRule="auto" w:line="276" w:before="0" w:after="0"/>
              <w:jc w:val="center"/>
              <w:rPr>
                <w:rFonts w:eastAsia="Arial Unicode MS"/>
                <w:sz w:val="24"/>
                <w:lang w:val="el-GR"/>
              </w:rPr>
            </w:pPr>
            <w:r>
              <w:rPr>
                <w:rFonts w:eastAsia="Arial Unicode MS"/>
                <w:sz w:val="24"/>
                <w:lang w:val="el-GR"/>
              </w:rPr>
              <w:t>ΚΑΤΑΘΕΣΗΣ ΑΠΟ ΔΙΚΗΓΟΡΟ</w:t>
            </w:r>
          </w:p>
          <w:p>
            <w:pPr>
              <w:pStyle w:val="Normal"/>
              <w:spacing w:lineRule="auto" w:line="276" w:before="0" w:after="0"/>
              <w:jc w:val="center"/>
              <w:rPr>
                <w:rFonts w:eastAsia="Arial Unicode MS"/>
                <w:sz w:val="24"/>
              </w:rPr>
            </w:pPr>
            <w:r>
              <w:rPr>
                <w:rFonts w:eastAsia="Arial Unicode MS"/>
                <w:sz w:val="24"/>
              </w:rPr>
              <w:t>(επισυνάπτεται στο παρόν έντυπο)</w:t>
            </w:r>
          </w:p>
          <w:p>
            <w:pPr>
              <w:pStyle w:val="Normal"/>
              <w:spacing w:lineRule="auto" w:line="276" w:before="0" w:after="0"/>
              <w:jc w:val="center"/>
              <w:rPr>
                <w:rFonts w:eastAsia="Arial Unicode MS"/>
                <w:sz w:val="24"/>
              </w:rPr>
            </w:pPr>
            <w:r>
              <w:rPr>
                <w:rFonts w:eastAsia="Arial Unicode MS"/>
                <w:sz w:val="24"/>
              </w:rPr>
            </w:r>
          </w:p>
        </w:tc>
      </w:tr>
    </w:tbl>
    <w:p>
      <w:pPr>
        <w:pStyle w:val="Normal"/>
        <w:spacing w:lineRule="auto" w:line="276" w:before="0" w:after="0"/>
        <w:rPr>
          <w:rFonts w:eastAsia="Arial Unicode MS"/>
          <w:sz w:val="24"/>
        </w:rPr>
      </w:pPr>
      <w:r>
        <w:rPr>
          <w:rFonts w:eastAsia="Arial Unicode MS"/>
          <w:sz w:val="24"/>
        </w:rPr>
      </w:r>
    </w:p>
    <w:tbl>
      <w:tblPr>
        <w:tblW w:w="9747" w:type="dxa"/>
        <w:jc w:val="center"/>
        <w:tblInd w:w="0" w:type="dxa"/>
        <w:tblCellMar>
          <w:top w:w="0" w:type="dxa"/>
          <w:left w:w="108" w:type="dxa"/>
          <w:bottom w:w="0" w:type="dxa"/>
          <w:right w:w="108" w:type="dxa"/>
        </w:tblCellMar>
      </w:tblPr>
      <w:tblGrid>
        <w:gridCol w:w="9747"/>
      </w:tblGrid>
      <w:tr>
        <w:trPr>
          <w:trHeight w:val="10912" w:hRule="atLeast"/>
        </w:trPr>
        <w:tc>
          <w:tcPr>
            <w:tcW w:w="97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rPr>
                <w:rFonts w:eastAsia="Arial Unicode MS"/>
                <w:sz w:val="24"/>
                <w:lang w:val="el-GR"/>
              </w:rPr>
            </w:pPr>
            <w:r>
              <w:rPr>
                <w:rFonts w:eastAsia="Arial Unicode MS"/>
                <w:sz w:val="24"/>
                <w:lang w:val="el-GR"/>
              </w:rPr>
              <w:t>(9) ΣΤΟΙΧΕΙΑ ΔΙΑΚΗΡΥΞΗΣ ΣΥΜΒΑΣΗΣ</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Α. Ονομασία και συνοπτική περιγραφή της Διακήρυξης Σύμβασης</w:t>
            </w:r>
          </w:p>
          <w:p>
            <w:pPr>
              <w:pStyle w:val="Normal"/>
              <w:pBdr>
                <w:bottom w:val="single" w:sz="12" w:space="1" w:color="000000"/>
              </w:pBdr>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pBdr>
                <w:bottom w:val="single" w:sz="12" w:space="1" w:color="000000"/>
              </w:pBdr>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pBdr>
                <w:bottom w:val="single" w:sz="12" w:space="1" w:color="000000"/>
              </w:pBdr>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pBdr>
                <w:bottom w:val="single" w:sz="12" w:space="1" w:color="000000"/>
              </w:pBdr>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Β. Ημερομηνία προκήρυξης και δημοσίευσης των όρων της διαδικασίας σύναψης της</w:t>
            </w:r>
          </w:p>
          <w:p>
            <w:pPr>
              <w:pStyle w:val="Normal"/>
              <w:spacing w:lineRule="auto" w:line="276" w:before="0" w:after="0"/>
              <w:rPr>
                <w:rFonts w:eastAsia="Arial Unicode MS"/>
                <w:sz w:val="24"/>
                <w:lang w:val="el-GR"/>
              </w:rPr>
            </w:pPr>
            <w:r>
              <w:rPr>
                <w:rFonts w:eastAsia="Arial Unicode MS"/>
                <w:sz w:val="24"/>
                <w:lang w:val="el-GR"/>
              </w:rPr>
              <w:t>σύμβασης</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_________________________________________</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Γ. Ημερομηνία υποβολής της προσφοράς του προσφεύγοντος</w:t>
            </w:r>
          </w:p>
          <w:p>
            <w:pPr>
              <w:pStyle w:val="Normal"/>
              <w:spacing w:lineRule="auto" w:line="276" w:before="0" w:after="0"/>
              <w:rPr>
                <w:rFonts w:eastAsia="Arial Unicode MS"/>
                <w:sz w:val="24"/>
                <w:lang w:val="el-GR"/>
              </w:rPr>
            </w:pPr>
            <w:r>
              <w:rPr>
                <w:rFonts w:eastAsia="Arial Unicode MS"/>
                <w:sz w:val="24"/>
                <w:lang w:val="el-GR"/>
              </w:rPr>
              <w:t>_________________________________________</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Δ. Ημερομηνία κατά την οποία ο προσφεύγων έλαβε γνώση της προσβαλλόμενης πράξης ή απόφασης</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rPr>
            </w:pPr>
            <w:r>
              <w:rPr>
                <w:rFonts w:eastAsia="Arial Unicode MS"/>
                <w:sz w:val="24"/>
              </w:rPr>
              <w:t>________________________________________</w:t>
            </w:r>
          </w:p>
          <w:p>
            <w:pPr>
              <w:pStyle w:val="Normal"/>
              <w:spacing w:lineRule="auto" w:line="276" w:before="0" w:after="0"/>
              <w:rPr>
                <w:rFonts w:eastAsia="Arial Unicode MS"/>
                <w:sz w:val="24"/>
              </w:rPr>
            </w:pPr>
            <w:r>
              <w:rPr>
                <w:rFonts w:eastAsia="Arial Unicode MS"/>
                <w:sz w:val="24"/>
              </w:rPr>
            </w:r>
          </w:p>
        </w:tc>
      </w:tr>
    </w:tbl>
    <w:p>
      <w:pPr>
        <w:pStyle w:val="Normal"/>
        <w:spacing w:lineRule="auto" w:line="276" w:before="0" w:after="0"/>
        <w:rPr>
          <w:rFonts w:eastAsia="Arial Unicode MS"/>
          <w:sz w:val="24"/>
        </w:rPr>
      </w:pPr>
      <w:r>
        <w:rPr>
          <w:rFonts w:eastAsia="Arial Unicode MS"/>
          <w:sz w:val="24"/>
        </w:rPr>
      </w:r>
    </w:p>
    <w:p>
      <w:pPr>
        <w:pStyle w:val="Normal"/>
        <w:spacing w:lineRule="auto" w:line="276" w:before="0" w:after="0"/>
        <w:rPr>
          <w:rFonts w:eastAsia="Arial Unicode MS"/>
          <w:sz w:val="24"/>
        </w:rPr>
      </w:pPr>
      <w:r>
        <w:rPr>
          <w:rFonts w:eastAsia="Arial Unicode MS"/>
          <w:sz w:val="24"/>
        </w:rPr>
      </w:r>
    </w:p>
    <w:p>
      <w:pPr>
        <w:pStyle w:val="Normal"/>
        <w:spacing w:lineRule="auto" w:line="276" w:before="0" w:after="0"/>
        <w:rPr>
          <w:rFonts w:eastAsia="Arial Unicode MS"/>
          <w:sz w:val="24"/>
        </w:rPr>
      </w:pPr>
      <w:r>
        <w:rPr>
          <w:rFonts w:eastAsia="Arial Unicode MS"/>
          <w:sz w:val="24"/>
        </w:rPr>
      </w:r>
    </w:p>
    <w:p>
      <w:pPr>
        <w:pStyle w:val="Normal"/>
        <w:spacing w:lineRule="auto" w:line="276" w:before="0" w:after="0"/>
        <w:rPr>
          <w:rFonts w:eastAsia="Arial Unicode MS"/>
          <w:sz w:val="24"/>
        </w:rPr>
      </w:pPr>
      <w:r>
        <w:rPr>
          <w:rFonts w:eastAsia="Arial Unicode MS"/>
          <w:sz w:val="24"/>
        </w:rPr>
      </w:r>
      <w:r>
        <w:br w:type="page"/>
      </w:r>
    </w:p>
    <w:tbl>
      <w:tblPr>
        <w:tblW w:w="9498" w:type="dxa"/>
        <w:jc w:val="left"/>
        <w:tblInd w:w="396" w:type="dxa"/>
        <w:tblCellMar>
          <w:top w:w="0" w:type="dxa"/>
          <w:left w:w="108" w:type="dxa"/>
          <w:bottom w:w="0" w:type="dxa"/>
          <w:right w:w="108" w:type="dxa"/>
        </w:tblCellMar>
      </w:tblPr>
      <w:tblGrid>
        <w:gridCol w:w="9498"/>
      </w:tblGrid>
      <w:tr>
        <w:trPr>
          <w:trHeight w:val="6920" w:hRule="atLeast"/>
        </w:trPr>
        <w:tc>
          <w:tcPr>
            <w:tcW w:w="9498" w:type="dxa"/>
            <w:tcBorders>
              <w:top w:val="single" w:sz="4" w:space="0" w:color="000000"/>
              <w:left w:val="single" w:sz="4" w:space="0" w:color="000000"/>
              <w:right w:val="single" w:sz="4" w:space="0" w:color="000000"/>
            </w:tcBorders>
            <w:shd w:color="auto" w:fill="auto" w:val="clear"/>
          </w:tcPr>
          <w:p>
            <w:pPr>
              <w:pStyle w:val="Normal"/>
              <w:pageBreakBefore/>
              <w:spacing w:lineRule="auto" w:line="276" w:before="0" w:after="0"/>
              <w:rPr>
                <w:rFonts w:eastAsia="Arial Unicode MS"/>
                <w:sz w:val="24"/>
                <w:lang w:val="el-GR"/>
              </w:rPr>
            </w:pPr>
            <w:r>
              <w:rPr>
                <w:rFonts w:eastAsia="Arial Unicode MS"/>
                <w:sz w:val="24"/>
                <w:lang w:val="el-GR"/>
              </w:rPr>
              <w:t>(10) ΛΟΓΟΙ ΕΠΙ ΤΩΝ ΟΠΟΙΩΝ ΒΑΣΙΖΕΤΑΙ Η ΠΡΟΣΦΥΓΗ</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Να προσδιορίσετε ειδικά τους νομικούς και πραγματικούς λόγους επί των οποίων βασίζεται η προσφυγή</w:t>
            </w:r>
          </w:p>
          <w:p>
            <w:pPr>
              <w:pStyle w:val="Normal"/>
              <w:spacing w:lineRule="auto" w:line="276" w:before="0" w:after="0"/>
              <w:jc w:val="center"/>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t>(εάν ο χώρος που υπάρχει δεν είναι επαρκής επισυνάψτε συμπληρωματική σελίδα ή σελίδες)</w:t>
            </w:r>
          </w:p>
          <w:p>
            <w:pPr>
              <w:pStyle w:val="Normal"/>
              <w:spacing w:lineRule="auto" w:line="276" w:before="0" w:after="0"/>
              <w:rPr>
                <w:rFonts w:eastAsia="Arial Unicode MS"/>
                <w:sz w:val="24"/>
                <w:lang w:val="el-GR"/>
              </w:rPr>
            </w:pPr>
            <w:r>
              <w:rPr>
                <w:rFonts w:eastAsia="Arial Unicode MS"/>
                <w:sz w:val="24"/>
                <w:lang w:val="el-GR"/>
              </w:rPr>
            </w:r>
          </w:p>
        </w:tc>
      </w:tr>
      <w:tr>
        <w:trPr>
          <w:trHeight w:val="8966" w:hRule="atLeast"/>
        </w:trPr>
        <w:tc>
          <w:tcPr>
            <w:tcW w:w="9498" w:type="dxa"/>
            <w:tcBorders>
              <w:left w:val="single" w:sz="4" w:space="0" w:color="000000"/>
              <w:right w:val="single" w:sz="4" w:space="0" w:color="000000"/>
            </w:tcBorders>
            <w:shd w:color="auto" w:fill="auto" w:val="clear"/>
          </w:tcPr>
          <w:p>
            <w:pPr>
              <w:pStyle w:val="Normal"/>
              <w:spacing w:lineRule="auto" w:line="276" w:before="0" w:after="0"/>
              <w:rPr>
                <w:rFonts w:eastAsia="Arial Unicode MS"/>
                <w:sz w:val="24"/>
                <w:lang w:val="el-GR"/>
              </w:rPr>
            </w:pPr>
            <w:r>
              <w:rPr>
                <w:rFonts w:eastAsia="Arial Unicode MS"/>
                <w:sz w:val="24"/>
                <w:lang w:val="el-GR"/>
              </w:rPr>
              <w:t>(11) ΑΙΤΗΜΑ ΤΗΣ ΠΡΟΣΦΥΓΗΣ</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Να προσδιορίσετε ειδικά το αίτημα της προσφυγής.</w:t>
            </w:r>
          </w:p>
          <w:p>
            <w:pPr>
              <w:pStyle w:val="Normal"/>
              <w:pBdr>
                <w:bottom w:val="single" w:sz="12" w:space="1" w:color="000000"/>
              </w:pBdr>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sz w:val="24"/>
                <w:lang w:val="el-GR"/>
              </w:rPr>
            </w:pPr>
            <w:r>
              <w:rPr>
                <w:rFonts w:eastAsia="Arial Unicode MS"/>
                <w:sz w:val="24"/>
                <w:lang w:val="el-GR"/>
              </w:rPr>
              <w:t>(εάν ο χώρος που υπάρχει δεν είναι επαρκής επισυνάψτε συμπληρωματική σελίδα ή σελίδες)</w:t>
            </w:r>
          </w:p>
          <w:p>
            <w:pPr>
              <w:pStyle w:val="Normal"/>
              <w:spacing w:lineRule="auto" w:line="276" w:before="0" w:after="0"/>
              <w:jc w:val="center"/>
              <w:rPr>
                <w:rFonts w:eastAsia="Arial Unicode MS"/>
                <w:sz w:val="24"/>
                <w:lang w:val="el-GR"/>
              </w:rPr>
            </w:pPr>
            <w:r>
              <w:rPr>
                <w:rFonts w:eastAsia="Arial Unicode MS"/>
                <w:sz w:val="24"/>
                <w:lang w:val="el-GR"/>
              </w:rPr>
            </w:r>
          </w:p>
        </w:tc>
      </w:tr>
      <w:tr>
        <w:trPr>
          <w:trHeight w:val="12871" w:hRule="atLeast"/>
        </w:trPr>
        <w:tc>
          <w:tcPr>
            <w:tcW w:w="9498" w:type="dxa"/>
            <w:tcBorders>
              <w:left w:val="single" w:sz="4" w:space="0" w:color="000000"/>
              <w:bottom w:val="single" w:sz="4" w:space="0" w:color="000000"/>
              <w:right w:val="single" w:sz="4" w:space="0" w:color="000000"/>
            </w:tcBorders>
            <w:shd w:color="auto" w:fill="auto" w:val="clear"/>
          </w:tcPr>
          <w:p>
            <w:pPr>
              <w:pStyle w:val="Normal"/>
              <w:spacing w:lineRule="auto" w:line="276" w:before="0" w:after="0"/>
              <w:rPr>
                <w:rFonts w:eastAsia="Arial Unicode MS"/>
                <w:lang w:val="el-GR"/>
              </w:rPr>
            </w:pPr>
            <w:r>
              <w:rPr>
                <w:rFonts w:eastAsia="Arial Unicode MS"/>
                <w:lang w:val="el-GR"/>
              </w:rPr>
            </w:r>
          </w:p>
          <w:p>
            <w:pPr>
              <w:pStyle w:val="Normal"/>
              <w:spacing w:lineRule="auto" w:line="276" w:before="0" w:after="0"/>
              <w:rPr>
                <w:rFonts w:eastAsia="Arial Unicode MS"/>
                <w:sz w:val="24"/>
                <w:lang w:val="el-GR"/>
              </w:rPr>
            </w:pPr>
            <w:r>
              <w:rPr>
                <w:rFonts w:eastAsia="Arial Unicode MS"/>
                <w:sz w:val="24"/>
                <w:lang w:val="el-GR"/>
              </w:rPr>
              <w:t>(12) ΑΙΤΗΜΑ ΑΝΑΣΤΟΛΗΣ – ΠΡΟΣΩΡΙΝΩΝ ΜΕΤΡΩΝ</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Να προσδιορίσετε ειδικά το αίτημα (αιτήματα) και να το (τα) αιτιολογήσετε.</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jc w:val="center"/>
              <w:rPr>
                <w:rFonts w:eastAsia="Arial Unicode MS"/>
                <w:lang w:val="el-GR"/>
              </w:rPr>
            </w:pPr>
            <w:r>
              <w:rPr>
                <w:rFonts w:eastAsia="Arial Unicode MS"/>
                <w:lang w:val="el-GR"/>
              </w:rPr>
            </w:r>
          </w:p>
          <w:p>
            <w:pPr>
              <w:pStyle w:val="Normal"/>
              <w:spacing w:lineRule="auto" w:line="276" w:before="0" w:after="0"/>
              <w:jc w:val="center"/>
              <w:rPr>
                <w:rFonts w:eastAsia="Arial Unicode MS"/>
                <w:lang w:val="el-GR"/>
              </w:rPr>
            </w:pPr>
            <w:r>
              <w:rPr>
                <w:rFonts w:eastAsia="Arial Unicode MS"/>
                <w:lang w:val="el-GR"/>
              </w:rPr>
            </w:r>
          </w:p>
          <w:p>
            <w:pPr>
              <w:pStyle w:val="Normal"/>
              <w:spacing w:lineRule="auto" w:line="276" w:before="0" w:after="0"/>
              <w:jc w:val="center"/>
              <w:rPr>
                <w:rFonts w:eastAsia="Arial Unicode MS"/>
                <w:lang w:val="el-GR"/>
              </w:rPr>
            </w:pPr>
            <w:r>
              <w:rPr>
                <w:rFonts w:eastAsia="Arial Unicode MS"/>
                <w:lang w:val="el-GR"/>
              </w:rPr>
            </w:r>
          </w:p>
          <w:p>
            <w:pPr>
              <w:pStyle w:val="Normal"/>
              <w:spacing w:lineRule="auto" w:line="276" w:before="0" w:after="0"/>
              <w:jc w:val="center"/>
              <w:rPr>
                <w:rFonts w:eastAsia="Arial Unicode MS"/>
                <w:lang w:val="el-GR"/>
              </w:rPr>
            </w:pPr>
            <w:r>
              <w:rPr>
                <w:rFonts w:eastAsia="Arial Unicode MS"/>
                <w:lang w:val="el-GR"/>
              </w:rPr>
            </w:r>
          </w:p>
          <w:p>
            <w:pPr>
              <w:pStyle w:val="Normal"/>
              <w:spacing w:lineRule="auto" w:line="276" w:before="0" w:after="0"/>
              <w:jc w:val="center"/>
              <w:rPr>
                <w:rFonts w:eastAsia="Arial Unicode MS"/>
                <w:sz w:val="24"/>
                <w:lang w:val="el-GR"/>
              </w:rPr>
            </w:pPr>
            <w:r>
              <w:rPr>
                <w:rFonts w:eastAsia="Arial Unicode MS"/>
                <w:sz w:val="24"/>
                <w:lang w:val="el-GR"/>
              </w:rPr>
              <w:t>(εάν ο χώρος που υπάρχει δεν είναι επαρκής επισυνάψτε συμπληρωματική σελίδα ή σελίδες)</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lang w:val="el-GR"/>
              </w:rPr>
            </w:pPr>
            <w:r>
              <w:rPr>
                <w:rFonts w:eastAsia="Arial Unicode MS"/>
                <w:lang w:val="el-GR"/>
              </w:rPr>
            </w:r>
          </w:p>
          <w:p>
            <w:pPr>
              <w:pStyle w:val="Normal"/>
              <w:spacing w:lineRule="auto" w:line="276" w:before="0" w:after="0"/>
              <w:rPr>
                <w:rFonts w:eastAsia="Arial Unicode MS"/>
                <w:lang w:val="el-GR"/>
              </w:rPr>
            </w:pPr>
            <w:r>
              <w:rPr>
                <w:rFonts w:eastAsia="Arial Unicode MS"/>
                <w:lang w:val="el-GR"/>
              </w:rPr>
            </w:r>
          </w:p>
          <w:p>
            <w:pPr>
              <w:pStyle w:val="Normal"/>
              <w:spacing w:lineRule="auto" w:line="276" w:before="0" w:after="0"/>
              <w:rPr>
                <w:rFonts w:eastAsia="Arial Unicode MS"/>
                <w:lang w:val="el-GR"/>
              </w:rPr>
            </w:pPr>
            <w:r>
              <w:rPr>
                <w:rFonts w:eastAsia="Arial Unicode MS"/>
                <w:lang w:val="el-GR"/>
              </w:rPr>
            </w:r>
          </w:p>
          <w:p>
            <w:pPr>
              <w:pStyle w:val="Normal"/>
              <w:spacing w:lineRule="auto" w:line="276" w:before="0" w:after="0"/>
              <w:rPr>
                <w:rFonts w:eastAsia="Arial Unicode MS"/>
                <w:lang w:val="el-GR"/>
              </w:rPr>
            </w:pPr>
            <w:r>
              <w:rPr>
                <w:rFonts w:eastAsia="Arial Unicode MS"/>
                <w:lang w:val="el-GR"/>
              </w:rPr>
            </w:r>
          </w:p>
          <w:p>
            <w:pPr>
              <w:pStyle w:val="Normal"/>
              <w:spacing w:lineRule="auto" w:line="276" w:before="0" w:after="0"/>
              <w:rPr>
                <w:rFonts w:eastAsia="Arial Unicode MS"/>
                <w:sz w:val="24"/>
                <w:lang w:val="el-GR"/>
              </w:rPr>
            </w:pPr>
            <w:r>
              <w:rPr>
                <w:rFonts w:eastAsia="Arial Unicode MS"/>
                <w:sz w:val="24"/>
                <w:lang w:val="el-GR"/>
              </w:rPr>
              <w:t>(13) ΔΗΛΩΣΗ</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__________________________________                                    ________________________</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Υπογραφή Προσφεύγοντος ή Εκπροσώπου                                                         Ημερομηνία</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 xml:space="preserve">     </w:t>
            </w:r>
            <w:r>
              <w:rPr>
                <w:rFonts w:eastAsia="Arial Unicode MS"/>
                <w:sz w:val="24"/>
                <w:lang w:val="el-GR"/>
              </w:rPr>
              <w:t>Ονοματεπώνυμο _______________________________________</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 xml:space="preserve">     </w:t>
            </w:r>
            <w:r>
              <w:rPr>
                <w:rFonts w:eastAsia="Arial Unicode MS"/>
                <w:sz w:val="24"/>
                <w:lang w:val="el-GR"/>
              </w:rPr>
              <w:t>(Κεφαλαία)</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rPr>
                <w:rFonts w:eastAsia="Arial Unicode MS"/>
                <w:sz w:val="24"/>
                <w:lang w:val="el-GR"/>
              </w:rPr>
            </w:pPr>
            <w:r>
              <w:rPr>
                <w:rFonts w:eastAsia="Arial Unicode MS"/>
                <w:sz w:val="24"/>
                <w:lang w:val="el-GR"/>
              </w:rPr>
              <w:t xml:space="preserve">     </w:t>
            </w:r>
            <w:r>
              <w:rPr>
                <w:rFonts w:eastAsia="Arial Unicode MS"/>
                <w:sz w:val="24"/>
                <w:lang w:val="el-GR"/>
              </w:rPr>
              <w:t>Ιδιότητα ______________________________________________</w:t>
            </w:r>
          </w:p>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276" w:before="0" w:after="0"/>
              <w:ind w:left="5285" w:right="0" w:hanging="420"/>
              <w:jc w:val="center"/>
              <w:rPr>
                <w:rFonts w:eastAsia="Arial Unicode MS"/>
                <w:sz w:val="24"/>
                <w:lang w:val="el-GR"/>
              </w:rPr>
            </w:pPr>
            <w:r>
              <w:rPr>
                <w:rFonts w:eastAsia="Arial Unicode MS"/>
                <w:sz w:val="24"/>
                <w:lang w:val="el-GR"/>
              </w:rPr>
              <w:t>Σφραγίδα</w:t>
            </w:r>
          </w:p>
          <w:p>
            <w:pPr>
              <w:pStyle w:val="Normal"/>
              <w:spacing w:lineRule="auto" w:line="276" w:before="0" w:after="0"/>
              <w:ind w:left="5285" w:right="0" w:hanging="420"/>
              <w:jc w:val="center"/>
              <w:rPr>
                <w:rFonts w:eastAsia="Arial Unicode MS"/>
                <w:sz w:val="24"/>
                <w:lang w:val="el-GR"/>
              </w:rPr>
            </w:pPr>
            <w:r>
              <w:rPr>
                <w:rFonts w:eastAsia="Arial Unicode MS"/>
                <w:sz w:val="24"/>
                <w:lang w:val="el-GR"/>
              </w:rPr>
            </w:r>
          </w:p>
          <w:p>
            <w:pPr>
              <w:pStyle w:val="Normal"/>
              <w:spacing w:lineRule="auto" w:line="276" w:before="0" w:after="0"/>
              <w:ind w:left="5285" w:right="0" w:hanging="420"/>
              <w:jc w:val="center"/>
              <w:rPr>
                <w:rFonts w:eastAsia="Arial Unicode MS"/>
                <w:sz w:val="24"/>
                <w:lang w:val="el-GR"/>
              </w:rPr>
            </w:pPr>
            <w:r>
              <w:rPr>
                <w:rFonts w:eastAsia="Arial Unicode MS"/>
                <w:sz w:val="24"/>
                <w:lang w:val="el-GR"/>
              </w:rPr>
              <w:t>(Σε περίπτωση νομικού προσώπου)</w:t>
            </w:r>
          </w:p>
          <w:p>
            <w:pPr>
              <w:pStyle w:val="Normal"/>
              <w:spacing w:lineRule="auto" w:line="276" w:before="0" w:after="0"/>
              <w:rPr>
                <w:rFonts w:eastAsia="Arial Unicode MS"/>
                <w:sz w:val="24"/>
                <w:lang w:val="el-GR"/>
              </w:rPr>
            </w:pPr>
            <w:r>
              <w:rPr>
                <w:rFonts w:eastAsia="Arial Unicode MS"/>
                <w:sz w:val="24"/>
                <w:lang w:val="el-GR"/>
              </w:rPr>
            </w:r>
          </w:p>
        </w:tc>
      </w:tr>
    </w:tbl>
    <w:p>
      <w:pPr>
        <w:pStyle w:val="Normal"/>
        <w:spacing w:lineRule="auto" w:line="276" w:before="0" w:after="0"/>
        <w:rPr>
          <w:rFonts w:eastAsia="Arial Unicode MS"/>
          <w:sz w:val="24"/>
          <w:lang w:val="el-GR"/>
        </w:rPr>
      </w:pPr>
      <w:r>
        <w:rPr>
          <w:rFonts w:eastAsia="Arial Unicode MS"/>
          <w:sz w:val="24"/>
          <w:lang w:val="el-GR"/>
        </w:rPr>
      </w:r>
    </w:p>
    <w:p>
      <w:pPr>
        <w:pStyle w:val="Normal"/>
        <w:spacing w:lineRule="auto" w:line="360" w:before="0" w:after="0"/>
        <w:rPr>
          <w:sz w:val="24"/>
          <w:lang w:val="el-GR"/>
        </w:rPr>
      </w:pPr>
      <w:r>
        <w:rPr>
          <w:sz w:val="24"/>
          <w:lang w:val="el-GR"/>
        </w:rPr>
      </w:r>
      <w:r>
        <w:br w:type="page"/>
      </w:r>
    </w:p>
    <w:p>
      <w:pPr>
        <w:pStyle w:val="2"/>
        <w:tabs>
          <w:tab w:val="clear" w:pos="567"/>
          <w:tab w:val="left" w:pos="0" w:leader="none"/>
          <w:tab w:val="left" w:pos="142" w:leader="none"/>
        </w:tabs>
        <w:ind w:left="0" w:right="0" w:hanging="0"/>
        <w:rPr/>
      </w:pPr>
      <w:bookmarkStart w:id="231" w:name="__RefHeading___Toc35683_1890191151"/>
      <w:bookmarkStart w:id="232" w:name="_Toc75718026"/>
      <w:bookmarkStart w:id="233" w:name="_Toc138844699"/>
      <w:bookmarkEnd w:id="231"/>
      <w:r>
        <mc:AlternateContent>
          <mc:Choice Requires="wps">
            <w:drawing>
              <wp:anchor behindDoc="0" distT="0" distB="0" distL="0" distR="0" simplePos="0" locked="0" layoutInCell="1" allowOverlap="1" relativeHeight="2">
                <wp:simplePos x="0" y="0"/>
                <wp:positionH relativeFrom="column">
                  <wp:posOffset>0</wp:posOffset>
                </wp:positionH>
                <wp:positionV relativeFrom="paragraph">
                  <wp:posOffset>-635</wp:posOffset>
                </wp:positionV>
                <wp:extent cx="6117590" cy="304165"/>
                <wp:effectExtent l="0" t="0" r="0" b="0"/>
                <wp:wrapNone/>
                <wp:docPr id="6" name="Πλαίσιο1"/>
                <a:graphic xmlns:a="http://schemas.openxmlformats.org/drawingml/2006/main">
                  <a:graphicData uri="http://schemas.microsoft.com/office/word/2010/wordprocessingShape">
                    <wps:wsp>
                      <wps:cNvSpPr/>
                      <wps:spPr>
                        <a:xfrm>
                          <a:off x="0" y="0"/>
                          <a:ext cx="6117120" cy="303480"/>
                        </a:xfrm>
                        <a:prstGeom prst="rect">
                          <a:avLst/>
                        </a:prstGeom>
                        <a:noFill/>
                        <a:ln>
                          <a:noFill/>
                        </a:ln>
                      </wps:spPr>
                      <wps:style>
                        <a:lnRef idx="0"/>
                        <a:fillRef idx="0"/>
                        <a:effectRef idx="0"/>
                        <a:fontRef idx="minor"/>
                      </wps:style>
                      <wps:txbx>
                        <w:txbxContent>
                          <w:p>
                            <w:pPr>
                              <w:pStyle w:val="Normal"/>
                              <w:spacing w:before="20" w:after="240"/>
                              <w:ind w:left="3350" w:right="3428" w:hanging="0"/>
                              <w:jc w:val="center"/>
                              <w:rPr>
                                <w:color w:val="000000"/>
                              </w:rPr>
                            </w:pPr>
                            <w:r>
                              <w:rPr>
                                <w:color w:val="000000"/>
                              </w:rPr>
                            </w:r>
                          </w:p>
                        </w:txbxContent>
                      </wps:txbx>
                      <wps:bodyPr lIns="0" rIns="0" tIns="0" bIns="0">
                        <a:noAutofit/>
                      </wps:bodyPr>
                    </wps:wsp>
                  </a:graphicData>
                </a:graphic>
              </wp:anchor>
            </w:drawing>
          </mc:Choice>
          <mc:Fallback>
            <w:pict>
              <v:rect id="shape_0" ID="Πλαίσιο1" stroked="f" style="position:absolute;margin-left:0pt;margin-top:-0.05pt;width:481.6pt;height:23.85pt">
                <w10:wrap type="none"/>
                <v:fill o:detectmouseclick="t" on="false"/>
                <v:stroke color="#3465a4" joinstyle="round" endcap="flat"/>
                <v:textbox>
                  <w:txbxContent>
                    <w:p>
                      <w:pPr>
                        <w:pStyle w:val="Normal"/>
                        <w:spacing w:before="20" w:after="240"/>
                        <w:ind w:left="3350" w:right="3428" w:hanging="0"/>
                        <w:jc w:val="center"/>
                        <w:rPr>
                          <w:color w:val="000000"/>
                        </w:rPr>
                      </w:pPr>
                      <w:r>
                        <w:rPr>
                          <w:color w:val="000000"/>
                        </w:rPr>
                      </w:r>
                    </w:p>
                  </w:txbxContent>
                </v:textbox>
              </v:rect>
            </w:pict>
          </mc:Fallback>
        </mc:AlternateContent>
      </w:r>
      <w:r>
        <w:rPr>
          <w:rFonts w:cs="Tahoma" w:ascii="Calibri" w:hAnsi="Calibri"/>
          <w:sz w:val="24"/>
          <w:szCs w:val="24"/>
          <w:lang w:val="el-GR"/>
        </w:rPr>
        <w:t xml:space="preserve">ΠΑΡΑΡΤΗΜΑ </w:t>
      </w:r>
      <w:r>
        <w:rPr>
          <w:rFonts w:cs="Tahoma" w:ascii="Calibri" w:hAnsi="Calibri"/>
          <w:sz w:val="24"/>
          <w:szCs w:val="24"/>
          <w:lang w:val="en-US"/>
        </w:rPr>
        <w:t>V</w:t>
      </w:r>
      <w:r>
        <w:rPr>
          <w:rFonts w:cs="Tahoma" w:ascii="Calibri" w:hAnsi="Calibri"/>
          <w:sz w:val="24"/>
          <w:szCs w:val="24"/>
          <w:lang w:val="el-GR"/>
        </w:rPr>
        <w:t>ΙΙ – Σχέδιο Σύμβασης</w:t>
      </w:r>
      <w:r>
        <w:rPr>
          <w:rFonts w:cs="Tahoma" w:ascii="Calibri" w:hAnsi="Calibri"/>
          <w:sz w:val="24"/>
          <w:szCs w:val="24"/>
          <w:lang w:val="el-GR" w:eastAsia="el-GR"/>
        </w:rPr>
        <w:t xml:space="preserve"> -ΡΗΤΡΑ ΑΚΕΡΑΙΟΤΗΤΑΣ [επισυνάπτεται στο συμφωνητικό]</w:t>
      </w:r>
      <w:bookmarkEnd w:id="232"/>
      <w:bookmarkEnd w:id="233"/>
    </w:p>
    <w:tbl>
      <w:tblPr>
        <w:tblW w:w="9369" w:type="dxa"/>
        <w:jc w:val="left"/>
        <w:tblInd w:w="0" w:type="dxa"/>
        <w:tblCellMar>
          <w:top w:w="55" w:type="dxa"/>
          <w:left w:w="55" w:type="dxa"/>
          <w:bottom w:w="55" w:type="dxa"/>
          <w:right w:w="55" w:type="dxa"/>
        </w:tblCellMar>
      </w:tblPr>
      <w:tblGrid>
        <w:gridCol w:w="6232"/>
        <w:gridCol w:w="3136"/>
      </w:tblGrid>
      <w:tr>
        <w:trPr/>
        <w:tc>
          <w:tcPr>
            <w:tcW w:w="6232" w:type="dxa"/>
            <w:tcBorders/>
            <w:shd w:color="auto" w:fill="auto" w:val="clear"/>
          </w:tcPr>
          <w:p>
            <w:pPr>
              <w:pStyle w:val="Normal"/>
              <w:tabs>
                <w:tab w:val="clear" w:pos="720"/>
                <w:tab w:val="left" w:pos="4996" w:leader="none"/>
              </w:tabs>
              <w:spacing w:lineRule="auto" w:line="360" w:before="0" w:after="0"/>
              <w:ind w:left="-108" w:right="0" w:hanging="0"/>
              <w:jc w:val="center"/>
              <w:rPr/>
            </w:pPr>
            <w:r>
              <w:rPr/>
              <w:drawing>
                <wp:inline distT="0" distB="0" distL="0" distR="0">
                  <wp:extent cx="397510" cy="418465"/>
                  <wp:effectExtent l="0" t="0" r="0" b="0"/>
                  <wp:docPr id="8" name="Εικόνα1"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1" descr="https://encrypted-tbn1.gstatic.com/images?q=tbn:ANd9GcRQFBh6D7GX0t_9wVKqNVmKUT17t725cJ2zXkPAwlaTHH_YCwcceemZJw"/>
                          <pic:cNvPicPr>
                            <a:picLocks noChangeAspect="1" noChangeArrowheads="1"/>
                          </pic:cNvPicPr>
                        </pic:nvPicPr>
                        <pic:blipFill>
                          <a:blip r:embed="rId53"/>
                          <a:stretch>
                            <a:fillRect/>
                          </a:stretch>
                        </pic:blipFill>
                        <pic:spPr bwMode="auto">
                          <a:xfrm>
                            <a:off x="0" y="0"/>
                            <a:ext cx="397510" cy="418465"/>
                          </a:xfrm>
                          <a:prstGeom prst="rect">
                            <a:avLst/>
                          </a:prstGeom>
                        </pic:spPr>
                      </pic:pic>
                    </a:graphicData>
                  </a:graphic>
                </wp:inline>
              </w:drawing>
            </w:r>
          </w:p>
          <w:p>
            <w:pPr>
              <w:pStyle w:val="Normal"/>
              <w:tabs>
                <w:tab w:val="clear" w:pos="720"/>
                <w:tab w:val="left" w:pos="4996" w:leader="none"/>
              </w:tabs>
              <w:spacing w:before="0" w:after="0"/>
              <w:ind w:left="-108" w:right="0" w:hanging="0"/>
              <w:jc w:val="center"/>
              <w:rPr>
                <w:rFonts w:eastAsia="Arial Unicode MS" w:cs="Tahoma"/>
                <w:b/>
                <w:b/>
                <w:sz w:val="24"/>
                <w:lang w:val="el-GR"/>
              </w:rPr>
            </w:pPr>
            <w:r>
              <w:rPr>
                <w:rFonts w:eastAsia="Arial Unicode MS" w:cs="Tahoma"/>
                <w:b/>
                <w:sz w:val="24"/>
                <w:lang w:val="el-GR"/>
              </w:rPr>
              <w:t>ΕΛΛΗΝΙΚΗ ΔΗΜΟΚΡΑΤΙΑ</w:t>
            </w:r>
          </w:p>
          <w:p>
            <w:pPr>
              <w:pStyle w:val="Normal"/>
              <w:tabs>
                <w:tab w:val="clear" w:pos="720"/>
                <w:tab w:val="left" w:pos="4996" w:leader="none"/>
              </w:tabs>
              <w:spacing w:before="0" w:after="0"/>
              <w:ind w:left="-108" w:right="0" w:hanging="0"/>
              <w:jc w:val="center"/>
              <w:rPr>
                <w:rFonts w:eastAsia="Arial Unicode MS" w:cs="Tahoma"/>
                <w:b/>
                <w:b/>
                <w:sz w:val="24"/>
                <w:lang w:val="el-GR"/>
              </w:rPr>
            </w:pPr>
            <w:r>
              <w:rPr>
                <w:rFonts w:eastAsia="Arial Unicode MS" w:cs="Tahoma"/>
                <w:b/>
                <w:sz w:val="24"/>
                <w:lang w:val="el-GR"/>
              </w:rPr>
              <w:t>ΥΠΟΥΡΓΕΙΟ ΕΡΓΑΣΙΑΣ &amp; ΚΟΙΝΩΝΙΚΩΝ ΥΠΟΘΕΣΕΩΝ</w:t>
            </w:r>
          </w:p>
          <w:p>
            <w:pPr>
              <w:pStyle w:val="Normal"/>
              <w:tabs>
                <w:tab w:val="clear" w:pos="720"/>
                <w:tab w:val="left" w:pos="4996" w:leader="none"/>
              </w:tabs>
              <w:spacing w:before="57" w:after="57"/>
              <w:ind w:left="-108" w:right="0" w:hanging="0"/>
              <w:jc w:val="center"/>
              <w:rPr/>
            </w:pPr>
            <w:r>
              <w:rPr>
                <w:rFonts w:eastAsia="Arial Unicode MS" w:cs="Tahoma"/>
                <w:b/>
                <w:color w:val="365F91"/>
                <w:sz w:val="28"/>
                <w:szCs w:val="28"/>
                <w:lang w:val="en-US"/>
              </w:rPr>
              <w:t>e</w:t>
            </w:r>
            <w:r>
              <w:rPr>
                <w:rFonts w:eastAsia="Arial Unicode MS" w:cs="Tahoma"/>
                <w:b/>
                <w:color w:val="365F91"/>
                <w:sz w:val="28"/>
                <w:szCs w:val="28"/>
                <w:lang w:val="el-GR"/>
              </w:rPr>
              <w:t>-ΕΦΚΑ</w:t>
            </w:r>
          </w:p>
          <w:p>
            <w:pPr>
              <w:pStyle w:val="Normal"/>
              <w:tabs>
                <w:tab w:val="clear" w:pos="720"/>
                <w:tab w:val="left" w:pos="4996" w:leader="none"/>
              </w:tabs>
              <w:spacing w:before="0" w:after="0"/>
              <w:ind w:left="-108" w:right="0" w:hanging="0"/>
              <w:jc w:val="center"/>
              <w:rPr>
                <w:rFonts w:eastAsia="Arial Unicode MS" w:cs="Tahoma"/>
                <w:b/>
                <w:b/>
                <w:color w:val="365F91"/>
                <w:sz w:val="24"/>
                <w:lang w:val="el-GR"/>
              </w:rPr>
            </w:pPr>
            <w:r>
              <w:rPr>
                <w:rFonts w:eastAsia="Arial Unicode MS" w:cs="Tahoma"/>
                <w:b/>
                <w:color w:val="365F91"/>
                <w:sz w:val="24"/>
                <w:lang w:val="el-GR"/>
              </w:rPr>
              <w:t>ΗΛΕΚΤΡΟΝΙΚΟΣ ΕΘΝΙΚΟΣ ΦΟΡΕΑΣ ΚΟΙΝΩΝΙΚΗΣ ΑΣΦΑΛΙΣΗΣ</w:t>
            </w:r>
          </w:p>
        </w:tc>
        <w:tc>
          <w:tcPr>
            <w:tcW w:w="3136" w:type="dxa"/>
            <w:tcBorders/>
            <w:shd w:color="auto" w:fill="auto" w:val="clear"/>
          </w:tcPr>
          <w:p>
            <w:pPr>
              <w:pStyle w:val="Style29"/>
              <w:widowControl/>
              <w:suppressLineNumbers/>
              <w:bidi w:val="0"/>
              <w:spacing w:lineRule="auto" w:line="276" w:before="0" w:after="200"/>
              <w:jc w:val="left"/>
              <w:rPr>
                <w:sz w:val="24"/>
                <w:szCs w:val="24"/>
              </w:rPr>
            </w:pPr>
            <w:r>
              <w:rPr>
                <w:sz w:val="24"/>
                <w:szCs w:val="24"/>
              </w:rPr>
              <w:t>ΚΑΤΑΧΩΡΗΣΤΕΑ ΣΤΟ ΚΗΜΔΗΣ</w:t>
            </w:r>
          </w:p>
        </w:tc>
      </w:tr>
    </w:tbl>
    <w:p>
      <w:pPr>
        <w:pStyle w:val="Normal"/>
        <w:spacing w:lineRule="auto" w:line="360" w:before="0" w:after="0"/>
        <w:rPr/>
      </w:pPr>
      <w:r>
        <w:rPr>
          <w:rFonts w:eastAsia="Arial Unicode MS" w:cs="Tahoma"/>
          <w:sz w:val="24"/>
          <w:lang w:val="el-GR"/>
        </w:rPr>
        <w:t xml:space="preserve">                   </w:t>
      </w:r>
      <w:r>
        <w:rPr>
          <w:rFonts w:eastAsia="Arial Unicode MS" w:cs="Tahoma"/>
          <w:b/>
          <w:bCs/>
          <w:sz w:val="24"/>
          <w:lang w:val="el-GR"/>
        </w:rPr>
        <w:t xml:space="preserve">                                                                                                    </w:t>
      </w:r>
    </w:p>
    <w:p>
      <w:pPr>
        <w:pStyle w:val="Normal"/>
        <w:spacing w:lineRule="auto" w:line="360" w:before="0" w:after="0"/>
        <w:jc w:val="left"/>
        <w:rPr>
          <w:rFonts w:cs="Times New Roman"/>
          <w:b/>
          <w:b/>
          <w:bCs/>
          <w:color w:val="002060"/>
          <w:kern w:val="2"/>
          <w:sz w:val="24"/>
          <w:lang w:val="el-GR" w:bidi="hi-IN"/>
        </w:rPr>
      </w:pPr>
      <w:r>
        <w:rPr>
          <w:rFonts w:cs="Times New Roman"/>
          <w:b/>
          <w:bCs/>
          <w:color w:val="002060"/>
          <w:kern w:val="2"/>
          <w:sz w:val="24"/>
          <w:lang w:val="el-GR" w:bidi="hi-IN"/>
        </w:rPr>
        <w:t>ΓΕΝΙΚΗ Δ/ΝΣΗ ΥΠΗΡΕΣΙΩΝ &amp; ΔΙΑΧΕΙΡΙΣΗΣ ΛΕΙΤΟΥΡΓΙΑΣ</w:t>
        <w:tab/>
      </w:r>
    </w:p>
    <w:p>
      <w:pPr>
        <w:pStyle w:val="Normal"/>
        <w:spacing w:lineRule="auto" w:line="276" w:before="0" w:after="0"/>
        <w:ind w:left="426" w:right="0" w:hanging="426"/>
        <w:rPr>
          <w:b/>
          <w:b/>
          <w:bCs/>
          <w:kern w:val="2"/>
          <w:sz w:val="24"/>
          <w:lang w:val="el-GR" w:bidi="hi-IN"/>
        </w:rPr>
      </w:pPr>
      <w:r>
        <w:rPr>
          <w:b/>
          <w:bCs/>
          <w:kern w:val="2"/>
          <w:sz w:val="24"/>
          <w:lang w:val="el-GR" w:bidi="hi-IN"/>
        </w:rPr>
        <w:t>ΠΕΡΙΦΕΡΕΙΑΚΗ ΥΠΗΡΕΣΙΑ ΣΥΝΤΟΝΙΣΜΟΥ &amp; ΥΠΟΣΤΗΡΙΞΗΣ</w:t>
      </w:r>
    </w:p>
    <w:p>
      <w:pPr>
        <w:pStyle w:val="Normal"/>
        <w:spacing w:lineRule="auto" w:line="276" w:before="0" w:after="0"/>
        <w:ind w:left="426" w:right="0" w:hanging="426"/>
        <w:rPr>
          <w:b/>
          <w:b/>
          <w:bCs/>
          <w:kern w:val="2"/>
          <w:sz w:val="24"/>
          <w:lang w:val="el-GR" w:bidi="hi-IN"/>
        </w:rPr>
      </w:pPr>
      <w:r>
        <w:rPr>
          <w:b/>
          <w:bCs/>
          <w:kern w:val="2"/>
          <w:sz w:val="24"/>
          <w:lang w:val="el-GR" w:bidi="hi-IN"/>
        </w:rPr>
        <w:t>(Π.Υ.Σ.Υ.) ΘΕΣΣΑΛΙΑΣ ΜΕ ΕΔΡΑ ΤΗ ΛΑΡΙΣΑ</w:t>
      </w:r>
    </w:p>
    <w:p>
      <w:pPr>
        <w:pStyle w:val="Normal"/>
        <w:spacing w:lineRule="auto" w:line="276" w:before="0" w:after="0"/>
        <w:ind w:left="426" w:right="0" w:hanging="426"/>
        <w:rPr>
          <w:sz w:val="24"/>
          <w:lang w:val="el-GR"/>
        </w:rPr>
      </w:pPr>
      <w:r>
        <w:rPr>
          <w:sz w:val="24"/>
          <w:lang w:val="el-GR"/>
        </w:rPr>
        <w:t>ΤΜΗΜΑ ΣΥΝΤΟΝΙΣΜΟΥ ΚΑΙ ΥΠΟΣΤΗΡΙΞΗΣ</w:t>
      </w:r>
    </w:p>
    <w:p>
      <w:pPr>
        <w:pStyle w:val="Normal"/>
        <w:spacing w:lineRule="auto" w:line="276" w:before="0" w:after="0"/>
        <w:ind w:left="426" w:right="0" w:hanging="426"/>
        <w:rPr>
          <w:sz w:val="24"/>
          <w:lang w:val="el-GR"/>
        </w:rPr>
      </w:pPr>
      <w:r>
        <w:rPr>
          <w:sz w:val="24"/>
          <w:lang w:val="el-GR"/>
        </w:rPr>
        <w:t>Ταχ. Δ/νση: Αγχιάλου &amp; Αγ. Τριάδος, 413 34, Λάρισα</w:t>
      </w:r>
    </w:p>
    <w:p>
      <w:pPr>
        <w:pStyle w:val="Normal"/>
        <w:spacing w:lineRule="auto" w:line="276" w:before="0" w:after="0"/>
        <w:ind w:left="426" w:right="0" w:hanging="426"/>
        <w:rPr>
          <w:sz w:val="24"/>
          <w:lang w:val="el-GR"/>
        </w:rPr>
      </w:pPr>
      <w:r>
        <w:rPr>
          <w:sz w:val="24"/>
          <w:lang w:val="el-GR"/>
        </w:rPr>
        <w:t>Πληροφορίες: Κούμπου Παρασκευή, Τηλ.: 2410 563198</w:t>
      </w:r>
    </w:p>
    <w:p>
      <w:pPr>
        <w:pStyle w:val="Normal"/>
        <w:spacing w:lineRule="auto" w:line="360" w:before="0" w:after="0"/>
        <w:ind w:left="0" w:right="618" w:hanging="0"/>
        <w:jc w:val="left"/>
        <w:textAlignment w:val="baseline"/>
        <w:rPr/>
      </w:pPr>
      <w:r>
        <w:rPr>
          <w:rFonts w:eastAsia="Arial Unicode MS" w:cs="Tahoma"/>
          <w:b/>
          <w:bCs/>
          <w:i/>
          <w:iCs/>
          <w:sz w:val="24"/>
          <w:lang w:val="de-DE"/>
        </w:rPr>
        <w:t>E-mail: tm.synt.pysy.thessalias@efka.gov.gr</w:t>
      </w:r>
      <w:r>
        <w:rPr>
          <w:rFonts w:eastAsia="Arial Unicode MS" w:cs="Times New Roman"/>
          <w:b/>
          <w:bCs/>
          <w:sz w:val="24"/>
          <w:lang w:val="de-DE"/>
        </w:rPr>
        <w:t xml:space="preserve">            </w:t>
      </w:r>
    </w:p>
    <w:p>
      <w:pPr>
        <w:pStyle w:val="2"/>
        <w:spacing w:lineRule="auto" w:line="360" w:before="0" w:after="0"/>
        <w:ind w:left="567" w:right="0" w:hanging="567"/>
        <w:jc w:val="center"/>
        <w:rPr>
          <w:rFonts w:cs="Tahoma"/>
          <w:lang w:val="en-US"/>
        </w:rPr>
      </w:pPr>
      <w:r>
        <w:rPr>
          <w:rFonts w:cs="Tahoma"/>
          <w:lang w:val="en-US"/>
        </w:rPr>
      </w:r>
    </w:p>
    <w:p>
      <w:pPr>
        <w:pStyle w:val="2"/>
        <w:spacing w:lineRule="auto" w:line="360" w:before="0" w:after="0"/>
        <w:ind w:left="567" w:right="0" w:hanging="567"/>
        <w:jc w:val="center"/>
        <w:rPr>
          <w:rFonts w:ascii="Calibri" w:hAnsi="Calibri" w:cs="Tahoma"/>
          <w:sz w:val="24"/>
          <w:szCs w:val="24"/>
          <w:lang w:val="el-GR"/>
        </w:rPr>
      </w:pPr>
      <w:bookmarkStart w:id="234" w:name="__RefHeading___Toc35685_1890191151"/>
      <w:bookmarkStart w:id="235" w:name="_Toc138061917"/>
      <w:bookmarkStart w:id="236" w:name="_Toc75718027"/>
      <w:bookmarkStart w:id="237" w:name="_Toc39743775"/>
      <w:bookmarkStart w:id="238" w:name="_Toc138844700"/>
      <w:bookmarkEnd w:id="234"/>
      <w:r>
        <w:rPr>
          <w:rFonts w:cs="Tahoma" w:ascii="Calibri" w:hAnsi="Calibri"/>
          <w:sz w:val="24"/>
          <w:szCs w:val="24"/>
          <w:lang w:val="el-GR"/>
        </w:rPr>
        <w:t>ΣΥΜΒΑΣΗ</w:t>
      </w:r>
      <w:bookmarkEnd w:id="235"/>
      <w:bookmarkEnd w:id="236"/>
      <w:bookmarkEnd w:id="237"/>
      <w:bookmarkEnd w:id="238"/>
    </w:p>
    <w:p>
      <w:pPr>
        <w:pStyle w:val="Standard"/>
        <w:spacing w:lineRule="auto" w:line="360"/>
        <w:jc w:val="both"/>
        <w:rPr>
          <w:rFonts w:ascii="Calibri" w:hAnsi="Calibri" w:cs="Tahoma"/>
          <w:b/>
          <w:b/>
          <w:color w:val="000000"/>
        </w:rPr>
      </w:pPr>
      <w:r>
        <w:rPr>
          <w:rFonts w:cs="Tahoma" w:ascii="Calibri" w:hAnsi="Calibri"/>
          <w:b/>
          <w:color w:val="000000"/>
        </w:rPr>
        <w:t>«Για την παροχή υπηρεσιών καθαριότητας σε κτίρια στα οποία στεγάζονται οι Υπηρεσίες του e-ΕΦΚΑ Θεσσαλίας για χρονικό διάστημα είκοσι τεσσάρων (24) μηνών από την υπογραφή των συμβάσεων και με μονομερές δικαίωμα του Φορέα για παράταση των υπηρεσιών μέχρι δώδεκα (12) επιπλέον μηνών με τους ίδιους όρους»</w:t>
      </w:r>
    </w:p>
    <w:p>
      <w:pPr>
        <w:pStyle w:val="Standard"/>
        <w:spacing w:lineRule="auto" w:line="360"/>
        <w:rPr>
          <w:rFonts w:ascii="Calibri" w:hAnsi="Calibri" w:eastAsia="Calibri" w:cs="Tahoma"/>
          <w:b/>
          <w:b/>
        </w:rPr>
      </w:pPr>
      <w:r>
        <w:rPr>
          <w:rFonts w:eastAsia="Calibri" w:cs="Tahoma" w:ascii="Calibri" w:hAnsi="Calibri"/>
          <w:b/>
        </w:rPr>
      </w:r>
    </w:p>
    <w:p>
      <w:pPr>
        <w:pStyle w:val="Standard"/>
        <w:spacing w:lineRule="auto" w:line="360"/>
        <w:ind w:left="5040" w:right="0" w:hanging="0"/>
        <w:jc w:val="center"/>
        <w:rPr>
          <w:rFonts w:cs="Tahoma"/>
        </w:rPr>
      </w:pPr>
      <w:r>
        <w:rPr>
          <w:rFonts w:cs="Tahoma"/>
        </w:rPr>
      </w:r>
    </w:p>
    <w:p>
      <w:pPr>
        <w:pStyle w:val="Normal"/>
        <w:spacing w:lineRule="auto" w:line="360"/>
        <w:jc w:val="center"/>
        <w:rPr>
          <w:rFonts w:cs="Tahoma"/>
          <w:b/>
          <w:b/>
          <w:sz w:val="24"/>
          <w:lang w:val="el-GR"/>
        </w:rPr>
      </w:pPr>
      <w:r>
        <w:rPr>
          <w:rFonts w:cs="Tahoma"/>
          <w:b/>
          <w:sz w:val="24"/>
          <w:lang w:val="el-GR"/>
        </w:rPr>
      </w:r>
    </w:p>
    <w:p>
      <w:pPr>
        <w:pStyle w:val="Normal"/>
        <w:spacing w:lineRule="auto" w:line="360"/>
        <w:jc w:val="center"/>
        <w:rPr>
          <w:rFonts w:cs="Tahoma"/>
          <w:b/>
          <w:b/>
          <w:sz w:val="24"/>
          <w:lang w:val="el-GR"/>
        </w:rPr>
      </w:pPr>
      <w:r>
        <w:rPr>
          <w:rFonts w:cs="Tahoma"/>
          <w:b/>
          <w:sz w:val="24"/>
          <w:lang w:val="el-GR"/>
        </w:rPr>
      </w:r>
    </w:p>
    <w:p>
      <w:pPr>
        <w:pStyle w:val="Normal"/>
        <w:spacing w:lineRule="auto" w:line="360"/>
        <w:jc w:val="center"/>
        <w:rPr>
          <w:rFonts w:cs="Tahoma"/>
          <w:b/>
          <w:b/>
          <w:sz w:val="24"/>
          <w:lang w:val="el-GR"/>
        </w:rPr>
      </w:pPr>
      <w:r>
        <w:rPr>
          <w:rFonts w:cs="Tahoma"/>
          <w:b/>
          <w:sz w:val="24"/>
          <w:lang w:val="el-GR"/>
        </w:rPr>
      </w:r>
    </w:p>
    <w:p>
      <w:pPr>
        <w:pStyle w:val="Normal"/>
        <w:spacing w:lineRule="auto" w:line="360"/>
        <w:jc w:val="center"/>
        <w:rPr>
          <w:rFonts w:cs="Tahoma"/>
          <w:b/>
          <w:b/>
          <w:sz w:val="24"/>
          <w:lang w:val="el-GR"/>
        </w:rPr>
      </w:pPr>
      <w:r>
        <w:rPr>
          <w:rFonts w:cs="Tahoma"/>
          <w:b/>
          <w:sz w:val="24"/>
          <w:lang w:val="el-GR"/>
        </w:rPr>
        <w:t>ΣΥΜΒΑΛΛΟΜΕΝΟΙ</w:t>
      </w:r>
    </w:p>
    <w:p>
      <w:pPr>
        <w:pStyle w:val="Normal"/>
        <w:numPr>
          <w:ilvl w:val="0"/>
          <w:numId w:val="12"/>
        </w:numPr>
        <w:tabs>
          <w:tab w:val="clear" w:pos="720"/>
          <w:tab w:val="left" w:pos="567" w:leader="none"/>
        </w:tabs>
        <w:spacing w:lineRule="auto" w:line="240"/>
        <w:rPr/>
      </w:pPr>
      <w:r>
        <w:rPr>
          <w:rFonts w:cs="Tahoma"/>
          <w:b/>
          <w:sz w:val="24"/>
          <w:szCs w:val="24"/>
        </w:rPr>
        <w:t>«</w:t>
      </w:r>
      <w:r>
        <w:rPr>
          <w:rFonts w:cs="Tahoma"/>
          <w:b/>
          <w:caps/>
          <w:sz w:val="24"/>
          <w:szCs w:val="24"/>
        </w:rPr>
        <w:t>ηλεκτρονικός Εθνικοσ Φορέας Κοινωνικής Ασφάλισης» -  «</w:t>
      </w:r>
      <w:r>
        <w:rPr>
          <w:rFonts w:cs="Tahoma"/>
          <w:b/>
          <w:sz w:val="24"/>
          <w:szCs w:val="24"/>
          <w:lang w:val="en-US"/>
        </w:rPr>
        <w:t>e</w:t>
      </w:r>
      <w:r>
        <w:rPr>
          <w:rFonts w:cs="Tahoma"/>
          <w:b/>
          <w:caps/>
          <w:sz w:val="24"/>
          <w:szCs w:val="24"/>
        </w:rPr>
        <w:t>-ΕΦΚΑ</w:t>
      </w:r>
      <w:r>
        <w:rPr>
          <w:rFonts w:cs="Tahoma"/>
          <w:b/>
          <w:sz w:val="24"/>
          <w:szCs w:val="24"/>
        </w:rPr>
        <w:t xml:space="preserve">»   </w:t>
      </w:r>
    </w:p>
    <w:p>
      <w:pPr>
        <w:pStyle w:val="Normal"/>
        <w:tabs>
          <w:tab w:val="clear" w:pos="720"/>
          <w:tab w:val="left" w:pos="567" w:leader="none"/>
        </w:tabs>
        <w:spacing w:lineRule="auto" w:line="240"/>
        <w:ind w:left="570" w:right="0" w:hanging="0"/>
        <w:rPr>
          <w:rFonts w:cs="Tahoma"/>
          <w:b/>
          <w:b/>
          <w:sz w:val="24"/>
          <w:szCs w:val="24"/>
        </w:rPr>
      </w:pPr>
      <w:r>
        <w:rPr>
          <w:rFonts w:cs="Tahoma"/>
          <w:b/>
          <w:sz w:val="24"/>
          <w:szCs w:val="24"/>
        </w:rPr>
        <w:t xml:space="preserve">  </w:t>
      </w:r>
      <w:r>
        <w:rPr>
          <w:rFonts w:cs="Tahoma"/>
          <w:b/>
          <w:sz w:val="24"/>
          <w:szCs w:val="24"/>
        </w:rPr>
        <w:t>Π.Υ.Σ.Υ ΘΕΣΣΑΛΙΑΣ</w:t>
      </w:r>
    </w:p>
    <w:p>
      <w:pPr>
        <w:pStyle w:val="Normal"/>
        <w:tabs>
          <w:tab w:val="clear" w:pos="720"/>
          <w:tab w:val="left" w:pos="567" w:leader="none"/>
        </w:tabs>
        <w:spacing w:lineRule="auto" w:line="360"/>
        <w:rPr>
          <w:rFonts w:cs="Tahoma"/>
          <w:b/>
          <w:b/>
          <w:sz w:val="24"/>
          <w:lang w:val="el-GR"/>
        </w:rPr>
      </w:pPr>
      <w:r>
        <w:rPr>
          <w:rFonts w:cs="Tahoma"/>
          <w:b/>
          <w:sz w:val="24"/>
          <w:lang w:val="el-GR"/>
        </w:rPr>
        <w:t xml:space="preserve">  </w:t>
      </w:r>
      <w:r>
        <w:rPr>
          <w:rFonts w:cs="Tahoma"/>
          <w:b/>
          <w:sz w:val="24"/>
          <w:lang w:val="el-GR"/>
        </w:rPr>
        <w:t xml:space="preserve">2)    «……………………..» </w:t>
      </w:r>
    </w:p>
    <w:p>
      <w:pPr>
        <w:pStyle w:val="Normal"/>
        <w:suppressAutoHyphens w:val="false"/>
        <w:spacing w:before="0" w:after="0"/>
        <w:jc w:val="left"/>
        <w:rPr>
          <w:rFonts w:cs="Tahoma"/>
          <w:b/>
          <w:b/>
          <w:sz w:val="24"/>
          <w:lang w:val="el-GR"/>
        </w:rPr>
      </w:pPr>
      <w:r>
        <w:rPr>
          <w:rFonts w:cs="Tahoma"/>
          <w:b/>
          <w:sz w:val="24"/>
          <w:lang w:val="el-GR"/>
        </w:rPr>
      </w:r>
      <w:r>
        <w:br w:type="page"/>
      </w:r>
    </w:p>
    <w:p>
      <w:pPr>
        <w:pStyle w:val="Normal"/>
        <w:spacing w:lineRule="auto" w:line="276"/>
        <w:rPr/>
      </w:pPr>
      <w:r>
        <w:rPr>
          <w:rFonts w:cs="Tahoma"/>
          <w:sz w:val="24"/>
          <w:lang w:val="el-GR"/>
        </w:rPr>
        <w:t xml:space="preserve"> </w:t>
      </w:r>
      <w:r>
        <w:rPr>
          <w:rFonts w:cs="Tahoma"/>
          <w:sz w:val="24"/>
          <w:lang w:val="el-GR"/>
        </w:rPr>
        <w:t xml:space="preserve">Στην Λάρισα, σήμερα την </w:t>
      </w:r>
      <w:r>
        <w:rPr>
          <w:rFonts w:cs="Tahoma"/>
          <w:b/>
          <w:sz w:val="24"/>
          <w:lang w:val="el-GR"/>
        </w:rPr>
        <w:t>…</w:t>
      </w:r>
      <w:r>
        <w:rPr>
          <w:rFonts w:cs="Tahoma"/>
          <w:b/>
          <w:bCs/>
          <w:sz w:val="24"/>
          <w:lang w:val="el-GR"/>
        </w:rPr>
        <w:t>η, του μηνός ……, έτους …..</w:t>
      </w:r>
      <w:r>
        <w:rPr>
          <w:rFonts w:cs="Tahoma"/>
          <w:sz w:val="24"/>
          <w:lang w:val="el-GR"/>
        </w:rPr>
        <w:t xml:space="preserve">, </w:t>
      </w:r>
      <w:r>
        <w:rPr>
          <w:rFonts w:cs="Tahoma"/>
          <w:b/>
          <w:sz w:val="24"/>
          <w:lang w:val="el-GR"/>
        </w:rPr>
        <w:t>ημέρα …..</w:t>
      </w:r>
      <w:r>
        <w:rPr>
          <w:rFonts w:cs="Tahoma"/>
          <w:sz w:val="24"/>
          <w:lang w:val="el-GR"/>
        </w:rPr>
        <w:t>,</w:t>
      </w:r>
      <w:r>
        <w:rPr>
          <w:rFonts w:cs="Tahoma"/>
          <w:b/>
          <w:bCs/>
          <w:sz w:val="24"/>
          <w:lang w:val="el-GR"/>
        </w:rPr>
        <w:t xml:space="preserve"> </w:t>
      </w:r>
      <w:r>
        <w:rPr>
          <w:rFonts w:eastAsia="ArialUnicodeMS" w:cs="Tahoma"/>
          <w:color w:val="000000"/>
          <w:sz w:val="24"/>
          <w:lang w:val="el-GR" w:bidi="ar"/>
        </w:rPr>
        <w:t xml:space="preserve">στα γραφεία της Π.Υ.Σ.Υ. Θεσσαλίας του </w:t>
      </w:r>
      <w:r>
        <w:rPr>
          <w:rFonts w:cs="Tahoma"/>
          <w:sz w:val="24"/>
          <w:lang w:val="en-US"/>
        </w:rPr>
        <w:t>e</w:t>
      </w:r>
      <w:r>
        <w:rPr>
          <w:rFonts w:cs="Tahoma"/>
          <w:sz w:val="24"/>
          <w:lang w:val="el-GR"/>
        </w:rPr>
        <w:t>-Ε.Φ.Κ.Α.</w:t>
      </w:r>
      <w:r>
        <w:rPr>
          <w:rFonts w:eastAsia="ArialUnicodeMS" w:cs="Tahoma"/>
          <w:color w:val="000000"/>
          <w:sz w:val="24"/>
          <w:lang w:val="el-GR" w:bidi="ar"/>
        </w:rPr>
        <w:t>, στο κτίριο επί της οδού Αγχιάλου &amp; Αγ. Τριάδος, 413 34, Λάρισα, 1</w:t>
      </w:r>
      <w:r>
        <w:rPr>
          <w:rFonts w:eastAsia="ArialUnicodeMS" w:cs="Tahoma"/>
          <w:color w:val="000000"/>
          <w:sz w:val="24"/>
          <w:vertAlign w:val="superscript"/>
          <w:lang w:val="el-GR" w:bidi="ar"/>
        </w:rPr>
        <w:t>ος</w:t>
      </w:r>
      <w:r>
        <w:rPr>
          <w:rFonts w:eastAsia="ArialUnicodeMS" w:cs="Tahoma"/>
          <w:color w:val="000000"/>
          <w:sz w:val="24"/>
          <w:lang w:val="el-GR" w:bidi="ar"/>
        </w:rPr>
        <w:t xml:space="preserve"> Όροφος</w:t>
      </w:r>
      <w:r>
        <w:rPr>
          <w:rFonts w:cs="Tahoma"/>
          <w:sz w:val="24"/>
          <w:lang w:val="el-GR"/>
        </w:rPr>
        <w:t xml:space="preserve">, μεταξύ  των κάτωθι συμβαλλομένων, </w:t>
      </w:r>
    </w:p>
    <w:p>
      <w:pPr>
        <w:pStyle w:val="Normal"/>
        <w:spacing w:lineRule="auto" w:line="276" w:before="0" w:after="0"/>
        <w:rPr>
          <w:rFonts w:cs="Tahoma"/>
          <w:b/>
          <w:b/>
          <w:sz w:val="24"/>
          <w:lang w:val="el-GR"/>
        </w:rPr>
      </w:pPr>
      <w:r>
        <w:rPr>
          <w:rFonts w:cs="Tahoma"/>
          <w:b/>
          <w:sz w:val="24"/>
          <w:lang w:val="el-GR"/>
        </w:rPr>
        <w:t>αφενός μεν:</w:t>
      </w:r>
    </w:p>
    <w:p>
      <w:pPr>
        <w:pStyle w:val="Normal"/>
        <w:spacing w:lineRule="auto" w:line="276" w:before="0" w:after="0"/>
        <w:rPr/>
      </w:pPr>
      <w:r>
        <w:rPr>
          <w:rFonts w:cs="Tahoma"/>
          <w:sz w:val="24"/>
          <w:lang w:val="el-GR"/>
        </w:rPr>
        <w:t xml:space="preserve">α) </w:t>
      </w:r>
      <w:r>
        <w:rPr>
          <w:rFonts w:cs="Times New Roman"/>
          <w:b/>
          <w:sz w:val="24"/>
          <w:lang w:val="el-GR"/>
        </w:rPr>
        <w:t xml:space="preserve">του </w:t>
      </w:r>
      <w:r>
        <w:rPr>
          <w:rFonts w:cs="Times New Roman"/>
          <w:b/>
          <w:bCs/>
          <w:sz w:val="24"/>
          <w:lang w:val="el-GR"/>
        </w:rPr>
        <w:t>Ν.Π.Δ.Δ</w:t>
      </w:r>
      <w:r>
        <w:rPr>
          <w:rFonts w:cs="Times New Roman"/>
          <w:b/>
          <w:sz w:val="24"/>
          <w:lang w:val="el-GR"/>
        </w:rPr>
        <w:t>. με την επωνυμία «Ηλεκτρονικός Εθνικός Φορέας Κοινωνικής Ασφάλισης» e- Ε.Φ.Κ.Α. - ΠΥΣΥ Θεσσαλίας,</w:t>
      </w:r>
      <w:r>
        <w:rPr>
          <w:rFonts w:cs="Times New Roman"/>
          <w:sz w:val="24"/>
          <w:lang w:val="el-GR"/>
        </w:rPr>
        <w:t xml:space="preserve"> που εδρεύει στην Λάρισα (Διεύθυνση: Αγχιάλου 4, Τ.Κ. 41334, ΑΦΜ: 997072577, Δ.Ο.Υ. Δ’ Αθηνών)</w:t>
      </w:r>
      <w:r>
        <w:rPr>
          <w:rFonts w:cs="Tahoma"/>
          <w:sz w:val="24"/>
          <w:lang w:val="el-GR"/>
        </w:rPr>
        <w:t xml:space="preserve">, νομίμως εκπροσωπούμενου από </w:t>
      </w:r>
      <w:r>
        <w:rPr>
          <w:rFonts w:eastAsia="Calibri" w:cs="Tahoma"/>
          <w:sz w:val="24"/>
          <w:lang w:val="el-GR" w:eastAsia="en-US"/>
        </w:rPr>
        <w:t xml:space="preserve"> ……………………….</w:t>
      </w:r>
      <w:r>
        <w:rPr>
          <w:rFonts w:cs="Tahoma"/>
          <w:sz w:val="24"/>
          <w:lang w:val="el-GR" w:eastAsia="el-GR"/>
        </w:rPr>
        <w:t xml:space="preserve"> δυνάμει του</w:t>
      </w:r>
      <w:r>
        <w:rPr>
          <w:rFonts w:eastAsia="Calibri" w:cs="Tahoma"/>
          <w:sz w:val="24"/>
          <w:lang w:val="el-GR" w:eastAsia="en-US"/>
        </w:rPr>
        <w:t xml:space="preserve"> εφεξής αποκαλούμενο στην παρούσα Σύμβαση «</w:t>
      </w:r>
      <w:r>
        <w:rPr>
          <w:rFonts w:cs="Tahoma"/>
          <w:sz w:val="24"/>
          <w:lang w:val="el-GR" w:eastAsia="el-GR"/>
        </w:rPr>
        <w:t xml:space="preserve">η «Αναθέτουσα Αρχή» </w:t>
      </w:r>
      <w:r>
        <w:rPr>
          <w:rFonts w:eastAsia="Calibri" w:cs="Tahoma"/>
          <w:sz w:val="24"/>
          <w:lang w:val="el-GR" w:eastAsia="en-US"/>
        </w:rPr>
        <w:t>χάριν της οποίας καταρτίζεται η παρούσα  σύμβαση,</w:t>
      </w:r>
    </w:p>
    <w:p>
      <w:pPr>
        <w:pStyle w:val="Normal"/>
        <w:spacing w:lineRule="auto" w:line="276" w:before="0" w:after="0"/>
        <w:rPr>
          <w:rFonts w:cs="Tahoma"/>
          <w:b/>
          <w:b/>
          <w:sz w:val="24"/>
          <w:lang w:val="el-GR"/>
        </w:rPr>
      </w:pPr>
      <w:r>
        <w:rPr>
          <w:rFonts w:cs="Tahoma"/>
          <w:b/>
          <w:sz w:val="24"/>
          <w:lang w:val="el-GR"/>
        </w:rPr>
        <w:t>αφ’ ετέρου  δε,</w:t>
      </w:r>
    </w:p>
    <w:p>
      <w:pPr>
        <w:pStyle w:val="Normal"/>
        <w:spacing w:lineRule="auto" w:line="276" w:before="0" w:after="0"/>
        <w:rPr/>
      </w:pPr>
      <w:r>
        <w:rPr>
          <w:rFonts w:cs="Tahoma"/>
          <w:sz w:val="24"/>
          <w:lang w:val="el-GR"/>
        </w:rPr>
        <w:t xml:space="preserve">β) </w:t>
      </w:r>
      <w:r>
        <w:rPr>
          <w:rFonts w:cs="Tahoma"/>
          <w:sz w:val="24"/>
          <w:lang w:val="el-GR" w:eastAsia="el-GR"/>
        </w:rPr>
        <w:t xml:space="preserve">Ο/η ……. (σε περίπτωση φυσικού προσώπου/ ατομικής επιχείρησης) ή το νομικό πρόσωπο...........με την επωνυμία ………….και με το διακριτικό τίτλο «..........................», που εδρεύει ...................................... (ΑΦΜ:....................., ΔΟΥ: ................., Τ.Κ. ...................., νομίμως εκπροσωπούμενο (μόνο για νομικά πρόσωπα) από τον ......................................... (στο εξής ο «Ανάδοχος»)  </w:t>
      </w:r>
    </w:p>
    <w:p>
      <w:pPr>
        <w:pStyle w:val="Normal"/>
        <w:spacing w:lineRule="auto" w:line="276"/>
        <w:rPr>
          <w:rFonts w:cs="Tahoma"/>
          <w:b/>
          <w:b/>
          <w:sz w:val="24"/>
          <w:lang w:val="el-GR"/>
        </w:rPr>
      </w:pPr>
      <w:r>
        <w:rPr>
          <w:rFonts w:cs="Tahoma"/>
          <w:b/>
          <w:sz w:val="24"/>
          <w:lang w:val="el-GR"/>
        </w:rPr>
      </w:r>
    </w:p>
    <w:p>
      <w:pPr>
        <w:pStyle w:val="Normal"/>
        <w:spacing w:lineRule="auto" w:line="276" w:before="0" w:after="0"/>
        <w:rPr>
          <w:rFonts w:cs="Tahoma"/>
          <w:b/>
          <w:b/>
          <w:sz w:val="24"/>
          <w:lang w:val="el-GR"/>
        </w:rPr>
      </w:pPr>
      <w:r>
        <w:rPr>
          <w:rFonts w:cs="Tahoma"/>
          <w:b/>
          <w:sz w:val="24"/>
          <w:lang w:val="el-GR"/>
        </w:rPr>
        <w:t xml:space="preserve">Λαμβάνοντας υπόψη: </w:t>
      </w:r>
    </w:p>
    <w:p>
      <w:pPr>
        <w:pStyle w:val="Normal"/>
        <w:numPr>
          <w:ilvl w:val="0"/>
          <w:numId w:val="13"/>
        </w:numPr>
        <w:spacing w:before="0" w:after="0"/>
        <w:jc w:val="both"/>
        <w:rPr/>
      </w:pPr>
      <w:r>
        <w:rPr>
          <w:rFonts w:eastAsia="Calibri" w:cs="Tahoma"/>
          <w:sz w:val="24"/>
          <w:szCs w:val="24"/>
          <w:lang w:eastAsia="en-US"/>
        </w:rPr>
        <w:t xml:space="preserve">Την υπ΄ αριθμ ..... διακήρυξη (ΑΔΑΜ…) </w:t>
      </w:r>
      <w:r>
        <w:rPr>
          <w:rFonts w:cs="Tahoma"/>
          <w:sz w:val="24"/>
          <w:szCs w:val="24"/>
        </w:rPr>
        <w:t xml:space="preserve">και τα λοιπά έγγραφα της σύμβασης που συνέταξε η </w:t>
      </w:r>
      <w:r>
        <w:rPr>
          <w:rFonts w:eastAsia="Calibri" w:cs="Tahoma"/>
          <w:sz w:val="24"/>
          <w:szCs w:val="24"/>
          <w:lang w:eastAsia="en-US"/>
        </w:rPr>
        <w:t>Αναθέτουσα Αρχή για την ανωτέρω εν θέματι σύμβαση προμήθειας.</w:t>
      </w:r>
    </w:p>
    <w:p>
      <w:pPr>
        <w:pStyle w:val="Normal"/>
        <w:numPr>
          <w:ilvl w:val="0"/>
          <w:numId w:val="13"/>
        </w:numPr>
        <w:spacing w:before="0" w:after="0"/>
        <w:jc w:val="both"/>
        <w:rPr>
          <w:rFonts w:eastAsia="Calibri" w:cs="Tahoma"/>
          <w:sz w:val="24"/>
          <w:szCs w:val="24"/>
          <w:lang w:eastAsia="en-US"/>
        </w:rPr>
      </w:pPr>
      <w:r>
        <w:rPr>
          <w:rFonts w:eastAsia="Calibri" w:cs="Tahoma"/>
          <w:sz w:val="24"/>
          <w:szCs w:val="24"/>
          <w:lang w:eastAsia="en-US"/>
        </w:rPr>
        <w:t xml:space="preserve"> </w:t>
      </w:r>
      <w:r>
        <w:rPr>
          <w:rFonts w:eastAsia="Calibri" w:cs="Tahoma"/>
          <w:sz w:val="24"/>
          <w:szCs w:val="24"/>
          <w:lang w:eastAsia="en-US"/>
        </w:rPr>
        <w:t>Την υπ΄ αριθμ … απόφαση της Αναθέτουσας Αρχής με την οποία κατακυρώθηκε το αποτέλεσμα της διαδικασίας (ΑΔΑΜ…), στο πλαίσιο της ανωτέρω διακήρυξης στον Ανάδοχο</w:t>
      </w:r>
    </w:p>
    <w:p>
      <w:pPr>
        <w:pStyle w:val="Normal"/>
        <w:numPr>
          <w:ilvl w:val="0"/>
          <w:numId w:val="13"/>
        </w:numPr>
        <w:spacing w:before="0" w:after="0"/>
        <w:jc w:val="both"/>
        <w:rPr>
          <w:rFonts w:eastAsia="Calibri" w:cs="Tahoma"/>
          <w:sz w:val="24"/>
          <w:szCs w:val="24"/>
          <w:lang w:eastAsia="en-US"/>
        </w:rPr>
      </w:pPr>
      <w:r>
        <w:rPr>
          <w:rFonts w:eastAsia="Calibri" w:cs="Tahoma"/>
          <w:sz w:val="24"/>
          <w:szCs w:val="24"/>
          <w:lang w:eastAsia="en-US"/>
        </w:rPr>
        <w:t>Την αριθμ. πρωτ. …………… ειδική πρόσκληση της Αναθέτουσας Αρχής προς τον Ανάδοχο για την υπογραφή του παρόντος, η οποία κοινοποιήθηκε σε αυτόν την…...</w:t>
      </w:r>
    </w:p>
    <w:p>
      <w:pPr>
        <w:pStyle w:val="Normal"/>
        <w:numPr>
          <w:ilvl w:val="0"/>
          <w:numId w:val="13"/>
        </w:numPr>
        <w:spacing w:before="0" w:after="0"/>
        <w:jc w:val="both"/>
        <w:rPr/>
      </w:pPr>
      <w:r>
        <w:rPr>
          <w:rFonts w:eastAsia="Calibri" w:cs="Tahoma"/>
          <w:sz w:val="24"/>
          <w:szCs w:val="24"/>
          <w:lang w:eastAsia="en-US"/>
        </w:rPr>
        <w:t>Την από ……υπεύθυνη δήλωση του αναδόχου περί μη οψιγενών μεταβολών, κατά την έννοια της περ. (2) της παρ. 3 του άρθρου 100 του ν. 4412/2016</w:t>
      </w:r>
      <w:r>
        <w:rPr>
          <w:rStyle w:val="Style14"/>
          <w:rStyle w:val="Style14"/>
          <w:rFonts w:eastAsia="Calibri" w:cs="Tahoma"/>
          <w:sz w:val="24"/>
          <w:szCs w:val="24"/>
          <w:lang w:eastAsia="en-US"/>
        </w:rPr>
        <w:footnoteReference w:id="104"/>
      </w:r>
      <w:r>
        <w:rPr>
          <w:rFonts w:eastAsia="Calibri" w:cs="Tahoma"/>
          <w:sz w:val="24"/>
          <w:szCs w:val="24"/>
          <w:lang w:eastAsia="en-US"/>
        </w:rPr>
        <w:t xml:space="preserve"> </w:t>
      </w:r>
    </w:p>
    <w:p>
      <w:pPr>
        <w:pStyle w:val="Normal"/>
        <w:numPr>
          <w:ilvl w:val="0"/>
          <w:numId w:val="13"/>
        </w:numPr>
        <w:spacing w:before="0" w:after="0"/>
        <w:jc w:val="both"/>
        <w:rPr/>
      </w:pPr>
      <w:r>
        <w:rPr>
          <w:rFonts w:eastAsia="Calibri" w:cs="Tahoma"/>
          <w:sz w:val="24"/>
          <w:szCs w:val="24"/>
          <w:lang w:eastAsia="en-US"/>
        </w:rPr>
        <w:t xml:space="preserve">Ότι </w:t>
      </w:r>
      <w:r>
        <w:rPr>
          <w:rFonts w:cs="Tahoma"/>
          <w:sz w:val="24"/>
          <w:szCs w:val="24"/>
        </w:rPr>
        <w:t>αναπόσπαστο τμήμα της παρούσας αποτελούν, σύμφωνα με το άρθρο 2 παρ.1 περιπτ. 42 του Ν.4412/2016:</w:t>
      </w:r>
    </w:p>
    <w:p>
      <w:pPr>
        <w:pStyle w:val="Normal"/>
        <w:numPr>
          <w:ilvl w:val="0"/>
          <w:numId w:val="14"/>
        </w:numPr>
        <w:spacing w:before="0" w:after="0"/>
        <w:jc w:val="both"/>
        <w:rPr/>
      </w:pPr>
      <w:r>
        <w:rPr>
          <w:rFonts w:cs="Tahoma"/>
          <w:sz w:val="24"/>
          <w:szCs w:val="24"/>
        </w:rPr>
        <w:t>........ (στο εξής «τα Έγγραφα της Σύμβασης»</w:t>
      </w:r>
      <w:r>
        <w:rPr>
          <w:rStyle w:val="Style14"/>
          <w:rStyle w:val="Style14"/>
          <w:rFonts w:cs="Tahoma"/>
          <w:sz w:val="24"/>
          <w:szCs w:val="24"/>
        </w:rPr>
        <w:footnoteReference w:id="105"/>
      </w:r>
      <w:r>
        <w:rPr>
          <w:rFonts w:cs="Tahoma"/>
          <w:sz w:val="24"/>
          <w:szCs w:val="24"/>
        </w:rPr>
        <w:t xml:space="preserve"> </w:t>
      </w:r>
    </w:p>
    <w:p>
      <w:pPr>
        <w:pStyle w:val="Normal"/>
        <w:numPr>
          <w:ilvl w:val="0"/>
          <w:numId w:val="14"/>
        </w:numPr>
        <w:spacing w:before="0" w:after="0"/>
        <w:jc w:val="both"/>
        <w:rPr>
          <w:rFonts w:cs="Tahoma"/>
          <w:sz w:val="24"/>
          <w:szCs w:val="24"/>
        </w:rPr>
      </w:pPr>
      <w:r>
        <w:rPr>
          <w:rFonts w:cs="Tahoma"/>
          <w:sz w:val="24"/>
          <w:szCs w:val="24"/>
        </w:rPr>
        <w:t>Η προσφορά του Αναδόχου</w:t>
      </w:r>
    </w:p>
    <w:p>
      <w:pPr>
        <w:pStyle w:val="Normal"/>
        <w:numPr>
          <w:ilvl w:val="0"/>
          <w:numId w:val="13"/>
        </w:numPr>
        <w:spacing w:before="0" w:after="0"/>
        <w:jc w:val="both"/>
        <w:rPr>
          <w:rFonts w:cs="Tahoma"/>
          <w:sz w:val="24"/>
          <w:szCs w:val="24"/>
        </w:rPr>
      </w:pPr>
      <w:r>
        <w:rPr>
          <w:rFonts w:cs="Tahoma"/>
          <w:sz w:val="24"/>
          <w:szCs w:val="24"/>
        </w:rPr>
        <w:t>Ότι ο ανάδοχος κατέθεσε την  υπ’ αριθ. .............. εγγυητική επιστολή της τράπεζας/ πιστωτικού ιδρύματος/ χρηματοδοτικού ιδρύματος/ ασφαλιστικής επιχείρησης/  ..............., ποσού ........................ ευρώ, για την καλή εκτέλεση των όρων του παρόντος συμφωνητικού</w:t>
      </w:r>
    </w:p>
    <w:p>
      <w:pPr>
        <w:pStyle w:val="Normal"/>
        <w:numPr>
          <w:ilvl w:val="0"/>
          <w:numId w:val="13"/>
        </w:numPr>
        <w:spacing w:before="0" w:after="0"/>
        <w:jc w:val="both"/>
        <w:rPr>
          <w:rFonts w:cs="Tahoma"/>
          <w:sz w:val="24"/>
          <w:szCs w:val="24"/>
        </w:rPr>
      </w:pPr>
      <w:r>
        <w:rPr>
          <w:rFonts w:cs="Tahoma"/>
          <w:sz w:val="24"/>
          <w:szCs w:val="24"/>
        </w:rPr>
        <w:t>Την υπ’ αριθ. ............ διακήρυξη, με τα Παραρτήματα της</w:t>
      </w:r>
    </w:p>
    <w:p>
      <w:pPr>
        <w:pStyle w:val="Normal"/>
        <w:spacing w:lineRule="auto" w:line="276" w:before="0" w:after="0"/>
        <w:rPr>
          <w:rFonts w:cs="Tahoma"/>
          <w:sz w:val="24"/>
          <w:lang w:val="el-GR"/>
        </w:rPr>
      </w:pPr>
      <w:r>
        <w:rPr>
          <w:rFonts w:cs="Tahoma"/>
          <w:sz w:val="24"/>
          <w:lang w:val="el-GR"/>
        </w:rPr>
      </w:r>
    </w:p>
    <w:p>
      <w:pPr>
        <w:pStyle w:val="Normal"/>
        <w:spacing w:lineRule="auto" w:line="276" w:before="0" w:after="0"/>
        <w:rPr>
          <w:rFonts w:cs="Tahoma"/>
          <w:b/>
          <w:b/>
          <w:sz w:val="24"/>
          <w:lang w:val="el-GR"/>
        </w:rPr>
      </w:pPr>
      <w:r>
        <w:rPr>
          <w:rFonts w:cs="Tahoma"/>
          <w:b/>
          <w:sz w:val="24"/>
          <w:lang w:val="el-GR"/>
        </w:rPr>
        <w:t>Συμφωνούνται, συνομολογούνται και γίνονται δεκτά τα εξής:</w:t>
      </w:r>
    </w:p>
    <w:p>
      <w:pPr>
        <w:pStyle w:val="2"/>
        <w:spacing w:lineRule="auto" w:line="276"/>
        <w:ind w:left="567" w:right="0" w:hanging="567"/>
        <w:rPr/>
      </w:pPr>
      <w:bookmarkStart w:id="239" w:name="__RefHeading___Toc35687_1890191151"/>
      <w:bookmarkStart w:id="240" w:name="_Toc138061918"/>
      <w:bookmarkStart w:id="241" w:name="_Toc75718028"/>
      <w:bookmarkStart w:id="242" w:name="_Toc75714995"/>
      <w:bookmarkStart w:id="243" w:name="_Toc138844701"/>
      <w:bookmarkEnd w:id="239"/>
      <w:r>
        <w:rPr>
          <w:rFonts w:ascii="Calibri" w:hAnsi="Calibri"/>
          <w:sz w:val="24"/>
          <w:szCs w:val="24"/>
          <w:lang w:val="el-GR"/>
        </w:rPr>
        <w:t>ΑΡΘΡΟ 1:   ΑΝΤΙΚΕΙΜΕΝΟ ΠΡΟΜΗΘΕΙΑΣ –ΤΕΧΝΙΚΕΣ ΠΡΟΔΙΑΓΡΑΦΕΣ ΚΑΙ ΟΡΟΙ</w:t>
      </w:r>
      <w:bookmarkEnd w:id="240"/>
      <w:bookmarkEnd w:id="241"/>
      <w:bookmarkEnd w:id="242"/>
      <w:bookmarkEnd w:id="243"/>
      <w:r>
        <w:rPr>
          <w:rFonts w:ascii="Calibri" w:hAnsi="Calibri"/>
          <w:sz w:val="24"/>
          <w:szCs w:val="24"/>
          <w:lang w:val="el-GR"/>
        </w:rPr>
        <w:t xml:space="preserve"> </w:t>
      </w:r>
    </w:p>
    <w:p>
      <w:pPr>
        <w:pStyle w:val="Normal"/>
        <w:spacing w:lineRule="auto" w:line="276"/>
        <w:rPr>
          <w:rFonts w:cs="Tahoma"/>
          <w:sz w:val="24"/>
          <w:lang w:val="el-GR"/>
        </w:rPr>
      </w:pPr>
      <w:r>
        <w:rPr>
          <w:rFonts w:cs="Tahoma"/>
          <w:sz w:val="24"/>
          <w:lang w:val="el-GR"/>
        </w:rPr>
      </w:r>
    </w:p>
    <w:p>
      <w:pPr>
        <w:pStyle w:val="Normal"/>
        <w:tabs>
          <w:tab w:val="clear" w:pos="720"/>
          <w:tab w:val="left" w:pos="9770" w:leader="none"/>
        </w:tabs>
        <w:spacing w:lineRule="auto" w:line="276" w:before="0" w:after="0"/>
        <w:ind w:left="0" w:right="-57" w:hanging="0"/>
        <w:contextualSpacing/>
        <w:rPr/>
      </w:pPr>
      <w:r>
        <w:rPr>
          <w:rFonts w:cs="Tahoma"/>
          <w:b/>
          <w:sz w:val="24"/>
          <w:lang w:val="el-GR"/>
        </w:rPr>
        <w:t xml:space="preserve">Αντικείμενο της σύμβασης, </w:t>
      </w:r>
      <w:r>
        <w:rPr>
          <w:rFonts w:eastAsia="Arial Unicode MS" w:cs="Tahoma"/>
          <w:color w:val="000000"/>
          <w:sz w:val="24"/>
          <w:lang w:val="el-GR"/>
        </w:rPr>
        <w:t>είναι η</w:t>
      </w:r>
      <w:r>
        <w:rPr>
          <w:rFonts w:eastAsia="Arial Unicode MS" w:cs="Tahoma"/>
          <w:b/>
          <w:color w:val="000000"/>
          <w:sz w:val="24"/>
          <w:lang w:val="el-GR"/>
        </w:rPr>
        <w:t xml:space="preserve"> παροχή υπηρεσιών καθαριότητας σε κτίρια στα οποία στεγάζονται οι Υπηρεσίες του e-ΕΦΚΑ Θεσσαλίας για χρονικό διάστημα είκοσι τεσσάρων (24) μηνών από την υπογραφή των συμβάσεων και με μονομερές δικαίωμα του Φορέα για παράταση των υπηρεσιών μέχρι δώδεκα (12) επιπλέον μηνών με τους ίδιους όρους</w:t>
      </w:r>
      <w:r>
        <w:rPr>
          <w:rFonts w:cs="Tahoma"/>
          <w:b/>
          <w:color w:val="000000"/>
          <w:sz w:val="24"/>
          <w:lang w:val="el-GR"/>
        </w:rPr>
        <w:t xml:space="preserve"> και με κριτήριο κατακύρωσης την πλέον συμφέρουσα από οικονομική άποψη προσφορά βάσει τιμής.</w:t>
      </w:r>
    </w:p>
    <w:p>
      <w:pPr>
        <w:pStyle w:val="Normal"/>
        <w:tabs>
          <w:tab w:val="clear" w:pos="720"/>
          <w:tab w:val="left" w:pos="9770" w:leader="none"/>
        </w:tabs>
        <w:spacing w:lineRule="auto" w:line="276" w:before="0" w:after="0"/>
        <w:ind w:left="0" w:right="-57" w:hanging="0"/>
        <w:contextualSpacing/>
        <w:rPr>
          <w:rFonts w:cs="Tahoma"/>
          <w:b/>
          <w:b/>
          <w:color w:val="000000"/>
          <w:sz w:val="24"/>
          <w:lang w:val="el-GR"/>
        </w:rPr>
      </w:pPr>
      <w:r>
        <w:rPr>
          <w:rFonts w:cs="Tahoma"/>
          <w:b/>
          <w:color w:val="000000"/>
          <w:sz w:val="24"/>
          <w:lang w:val="el-GR"/>
        </w:rPr>
      </w:r>
    </w:p>
    <w:p>
      <w:pPr>
        <w:pStyle w:val="Normal"/>
        <w:spacing w:lineRule="auto" w:line="276" w:before="0" w:after="0"/>
        <w:rPr/>
      </w:pPr>
      <w:r>
        <w:rPr>
          <w:rFonts w:eastAsia="Arial Unicode MS" w:cs="Tahoma"/>
          <w:sz w:val="24"/>
          <w:lang w:val="el-GR"/>
        </w:rPr>
        <w:t xml:space="preserve">Η δαπάνη θα βαρύνει τον </w:t>
      </w:r>
      <w:r>
        <w:rPr>
          <w:rFonts w:eastAsia="Arial Unicode MS" w:cs="Tahoma"/>
          <w:b/>
          <w:sz w:val="24"/>
          <w:lang w:val="el-GR"/>
        </w:rPr>
        <w:t xml:space="preserve">Κ.Α.Ε. 00.10. 0845 «Δαπάνες Καθαρισμού Γραφείων» του προϋπολογισμού του </w:t>
      </w:r>
      <w:r>
        <w:rPr>
          <w:rFonts w:eastAsia="Arial Unicode MS" w:cs="Tahoma"/>
          <w:b/>
          <w:sz w:val="24"/>
          <w:lang w:val="en-US"/>
        </w:rPr>
        <w:t>e</w:t>
      </w:r>
      <w:r>
        <w:rPr>
          <w:rFonts w:eastAsia="Arial Unicode MS" w:cs="Tahoma"/>
          <w:b/>
          <w:sz w:val="24"/>
          <w:lang w:val="el-GR"/>
        </w:rPr>
        <w:t xml:space="preserve">-ΕΦΚΑ, ετών 2024, 2025, 2026 &amp; 2027, κωδικός αρχείου ειδών CPV: 90919200-4 «Υπηρεσίες </w:t>
      </w:r>
      <w:r>
        <w:rPr>
          <w:rFonts w:eastAsia="Arial Unicode MS" w:cs="Tahoma"/>
          <w:b/>
          <w:bCs/>
          <w:sz w:val="24"/>
          <w:lang w:val="el-GR"/>
        </w:rPr>
        <w:t>καθαρισμού Γραφείων».</w:t>
      </w:r>
      <w:r>
        <w:rPr>
          <w:rFonts w:eastAsia="Arial Unicode MS" w:cs="Tahoma"/>
          <w:b/>
          <w:sz w:val="24"/>
          <w:lang w:val="el-GR"/>
        </w:rPr>
        <w:t xml:space="preserve">  </w:t>
      </w:r>
    </w:p>
    <w:p>
      <w:pPr>
        <w:pStyle w:val="Normal"/>
        <w:spacing w:lineRule="auto" w:line="276" w:before="0" w:after="0"/>
        <w:rPr>
          <w:rFonts w:eastAsia="Arial Unicode MS" w:cs="Tahoma"/>
          <w:b/>
          <w:b/>
          <w:sz w:val="24"/>
          <w:lang w:val="el-GR"/>
        </w:rPr>
      </w:pPr>
      <w:r>
        <w:rPr>
          <w:rFonts w:eastAsia="Arial Unicode MS" w:cs="Tahoma"/>
          <w:b/>
          <w:sz w:val="24"/>
          <w:lang w:val="el-GR"/>
        </w:rPr>
      </w:r>
    </w:p>
    <w:p>
      <w:pPr>
        <w:pStyle w:val="Normal"/>
        <w:spacing w:lineRule="auto" w:line="276" w:before="0" w:after="0"/>
        <w:rPr/>
      </w:pPr>
      <w:r>
        <w:rPr/>
      </w:r>
    </w:p>
    <w:p>
      <w:pPr>
        <w:pStyle w:val="Normal"/>
        <w:spacing w:lineRule="auto" w:line="276" w:before="0" w:after="0"/>
        <w:rPr>
          <w:rFonts w:eastAsia="Arial Unicode MS" w:cs="Tahoma"/>
          <w:bCs/>
          <w:sz w:val="24"/>
          <w:lang w:val="el-GR"/>
        </w:rPr>
      </w:pPr>
      <w:r>
        <w:rPr>
          <w:rFonts w:eastAsia="Arial Unicode MS" w:cs="Tahoma"/>
          <w:bCs/>
          <w:sz w:val="24"/>
          <w:lang w:val="el-GR"/>
        </w:rPr>
      </w:r>
    </w:p>
    <w:p>
      <w:pPr>
        <w:pStyle w:val="Normal"/>
        <w:spacing w:lineRule="auto" w:line="276" w:before="0" w:after="0"/>
        <w:rPr/>
      </w:pPr>
      <w:r>
        <w:rPr/>
        <w:object w:dxaOrig="16641" w:dyaOrig="12033">
          <v:shape id="ole_rId54" style="width:649.95pt;height:520.7pt" o:ole="">
            <v:imagedata r:id="rId55" o:title=""/>
          </v:shape>
          <o:OLEObject Type="Embed" ProgID="Excel.Sheet.12" ShapeID="ole_rId54" DrawAspect="Content" ObjectID="_1397001323" r:id="rId54"/>
        </w:object>
      </w:r>
    </w:p>
    <w:p>
      <w:pPr>
        <w:pStyle w:val="Normal"/>
        <w:spacing w:lineRule="auto" w:line="360" w:before="0" w:after="0"/>
        <w:rPr>
          <w:rFonts w:ascii="Tahoma" w:hAnsi="Tahoma" w:eastAsia="Arial Unicode MS" w:cs="Tahoma"/>
          <w:bCs/>
          <w:sz w:val="20"/>
          <w:szCs w:val="20"/>
          <w:lang w:val="el-GR"/>
        </w:rPr>
      </w:pPr>
      <w:r>
        <w:rPr>
          <w:rFonts w:eastAsia="Arial Unicode MS" w:cs="Tahoma" w:ascii="Tahoma" w:hAnsi="Tahoma"/>
          <w:bCs/>
          <w:sz w:val="20"/>
          <w:szCs w:val="20"/>
          <w:lang w:val="el-GR"/>
        </w:rPr>
      </w:r>
    </w:p>
    <w:p>
      <w:pPr>
        <w:sectPr>
          <w:headerReference w:type="default" r:id="rId56"/>
          <w:footerReference w:type="default" r:id="rId57"/>
          <w:footnotePr>
            <w:numFmt w:val="decimal"/>
          </w:footnotePr>
          <w:type w:val="nextPage"/>
          <w:pgSz w:w="11906" w:h="16838"/>
          <w:pgMar w:left="1418" w:right="1134" w:header="720" w:top="992" w:footer="758" w:bottom="1317" w:gutter="0"/>
          <w:pgNumType w:fmt="decimal"/>
          <w:formProt w:val="false"/>
          <w:textDirection w:val="lrTb"/>
          <w:docGrid w:type="default" w:linePitch="299" w:charSpace="4096"/>
        </w:sectPr>
        <w:pStyle w:val="Normal"/>
        <w:spacing w:lineRule="auto" w:line="360" w:before="0" w:after="0"/>
        <w:rPr>
          <w:rFonts w:ascii="Tahoma" w:hAnsi="Tahoma" w:eastAsia="Arial Unicode MS" w:cs="Tahoma"/>
          <w:bCs/>
          <w:sz w:val="20"/>
          <w:szCs w:val="20"/>
          <w:lang w:val="el-GR"/>
        </w:rPr>
      </w:pPr>
      <w:r>
        <w:rPr>
          <w:rFonts w:eastAsia="Arial Unicode MS" w:cs="Tahoma" w:ascii="Tahoma" w:hAnsi="Tahoma"/>
          <w:bCs/>
          <w:sz w:val="20"/>
          <w:szCs w:val="20"/>
          <w:lang w:val="el-GR"/>
        </w:rPr>
        <w:t>Ο καθαρισμός στους  χώρους κύριας χρήσης θα πραγματοποιείται καθημερινά από Δευτέρα έως και Παρασκευή (πλην επίσημων αργιών και εορτών), ενώ ο καθαρισμός στους βοηθητικούς χώρους  (υπόγεια, αρχεία κλπ.) θα πραγματοποιείται 1 φορά το μήνα.</w:t>
      </w:r>
    </w:p>
    <w:p>
      <w:pPr>
        <w:pStyle w:val="Normal"/>
        <w:numPr>
          <w:ilvl w:val="0"/>
          <w:numId w:val="15"/>
        </w:numPr>
        <w:rPr>
          <w:rFonts w:eastAsia="Arial Unicode MS" w:cs="Tahoma"/>
          <w:b/>
          <w:b/>
          <w:color w:val="17365D"/>
          <w:sz w:val="24"/>
          <w:szCs w:val="24"/>
          <w:u w:val="single"/>
          <w:lang w:eastAsia="zh-CN"/>
        </w:rPr>
      </w:pPr>
      <w:r>
        <w:rPr>
          <w:rFonts w:eastAsia="Arial Unicode MS" w:cs="Tahoma"/>
          <w:b/>
          <w:color w:val="17365D"/>
          <w:sz w:val="24"/>
          <w:szCs w:val="24"/>
          <w:u w:val="single"/>
          <w:lang w:eastAsia="zh-CN"/>
        </w:rPr>
        <w:t xml:space="preserve">Γενικοί όροι: </w:t>
      </w:r>
    </w:p>
    <w:p>
      <w:pPr>
        <w:pStyle w:val="Normal"/>
        <w:shd w:val="clear" w:color="auto" w:fill="FFFFFF"/>
        <w:tabs>
          <w:tab w:val="clear" w:pos="720"/>
          <w:tab w:val="left" w:pos="567" w:leader="none"/>
        </w:tabs>
        <w:spacing w:lineRule="auto" w:line="276"/>
        <w:rPr>
          <w:rFonts w:eastAsia="Arial Unicode MS" w:cs="Tahoma"/>
          <w:b/>
          <w:b/>
          <w:color w:val="17365D"/>
          <w:sz w:val="24"/>
          <w:u w:val="single"/>
          <w:lang w:val="el-GR"/>
        </w:rPr>
      </w:pPr>
      <w:r>
        <w:rPr>
          <w:rFonts w:eastAsia="Arial Unicode MS" w:cs="Tahoma"/>
          <w:b/>
          <w:color w:val="17365D"/>
          <w:sz w:val="24"/>
          <w:u w:val="single"/>
          <w:lang w:val="el-GR"/>
        </w:rPr>
        <w:t xml:space="preserve">ΠΕΡΙΓΡΑΦΗ  ΕΡΓΑΣΙΩΝ </w:t>
      </w:r>
    </w:p>
    <w:p>
      <w:pPr>
        <w:pStyle w:val="Normal"/>
        <w:shd w:val="clear" w:color="auto" w:fill="FFFFFF"/>
        <w:tabs>
          <w:tab w:val="clear" w:pos="720"/>
          <w:tab w:val="left" w:pos="567" w:leader="none"/>
        </w:tabs>
        <w:spacing w:lineRule="auto" w:line="276"/>
        <w:rPr/>
      </w:pPr>
      <w:r>
        <w:rPr>
          <w:rFonts w:eastAsia="Arial Unicode MS" w:cs="Tahoma"/>
          <w:bCs/>
          <w:sz w:val="24"/>
          <w:lang w:val="el-GR"/>
        </w:rPr>
        <w:t xml:space="preserve">Οι απαιτούμενες </w:t>
      </w:r>
      <w:r>
        <w:rPr>
          <w:rFonts w:eastAsia="Arial Unicode MS" w:cs="Tahoma"/>
          <w:b/>
          <w:bCs/>
          <w:sz w:val="24"/>
          <w:u w:val="single"/>
          <w:lang w:val="el-GR"/>
        </w:rPr>
        <w:t>καθημερινές</w:t>
      </w:r>
      <w:r>
        <w:rPr>
          <w:rFonts w:eastAsia="Arial Unicode MS" w:cs="Tahoma"/>
          <w:bCs/>
          <w:sz w:val="24"/>
          <w:lang w:val="el-GR"/>
        </w:rPr>
        <w:t xml:space="preserve"> υπηρεσίες καθαρισμού είναι οι εξής: </w:t>
      </w:r>
    </w:p>
    <w:p>
      <w:pPr>
        <w:pStyle w:val="Normal"/>
        <w:shd w:val="clear" w:color="auto" w:fill="FFFFFF"/>
        <w:tabs>
          <w:tab w:val="clear" w:pos="720"/>
          <w:tab w:val="left" w:pos="567" w:leader="none"/>
        </w:tabs>
        <w:spacing w:lineRule="auto" w:line="276" w:before="0" w:after="0"/>
        <w:rPr/>
      </w:pPr>
      <w:r>
        <w:rPr>
          <w:rFonts w:cs="Tahoma"/>
          <w:b/>
          <w:i/>
          <w:sz w:val="24"/>
          <w:lang w:val="el-GR"/>
        </w:rPr>
        <w:t xml:space="preserve">    </w:t>
      </w:r>
      <w:r>
        <w:rPr>
          <w:rFonts w:cs="Tahoma"/>
          <w:b/>
          <w:sz w:val="24"/>
          <w:lang w:val="el-GR"/>
        </w:rPr>
        <w:t xml:space="preserve">  </w:t>
      </w:r>
      <w:r>
        <w:rPr>
          <w:rFonts w:cs="Tahoma"/>
          <w:b/>
          <w:sz w:val="24"/>
          <w:u w:val="single"/>
          <w:lang w:val="el-GR"/>
        </w:rPr>
        <w:t>1.1. ΚΑΘΗΜΕΡΙΝΕΣ ΕΡΓΑΣΙΕΣ ΣΕ ΓΡΑΦΕΙΑΚΟΥΣ ΚΑΙ ΚΟΙΝΟΧΡΗΣΤΟΥΣ ΧΩΡΟΥΣ</w:t>
      </w:r>
    </w:p>
    <w:p>
      <w:pPr>
        <w:pStyle w:val="Normal"/>
        <w:numPr>
          <w:ilvl w:val="0"/>
          <w:numId w:val="16"/>
        </w:numPr>
        <w:shd w:val="clear" w:color="auto" w:fill="FFFFFF"/>
        <w:suppressAutoHyphens w:val="false"/>
        <w:spacing w:lineRule="auto" w:line="276" w:before="0" w:after="0"/>
        <w:ind w:left="426" w:right="0" w:hanging="360"/>
        <w:rPr>
          <w:rFonts w:eastAsia="Arial Unicode MS" w:cs="Tahoma"/>
          <w:bCs/>
          <w:sz w:val="24"/>
          <w:lang w:val="el-GR"/>
        </w:rPr>
      </w:pPr>
      <w:r>
        <w:rPr>
          <w:rFonts w:eastAsia="Arial Unicode MS" w:cs="Tahoma"/>
          <w:bCs/>
          <w:sz w:val="24"/>
          <w:lang w:val="el-GR"/>
        </w:rPr>
        <w:t>Σκούπισμα και σφουγγάρισμα δαπέδων αιθουσών, γραφειακών χώρων, χώρων αναμονής, διαδρόμων, χώρων κουζινών.</w:t>
      </w:r>
    </w:p>
    <w:p>
      <w:pPr>
        <w:pStyle w:val="Normal"/>
        <w:numPr>
          <w:ilvl w:val="0"/>
          <w:numId w:val="16"/>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Ξεσκόνισμα με αντιστατικά ή προεμποτισμένα πανιά, των επίπλων γραφείων, γκισέ συναλλαγών, ερμαρίων, καθισμάτων.</w:t>
      </w:r>
    </w:p>
    <w:p>
      <w:pPr>
        <w:pStyle w:val="Normal"/>
        <w:numPr>
          <w:ilvl w:val="0"/>
          <w:numId w:val="16"/>
        </w:numPr>
        <w:shd w:val="clear" w:color="auto" w:fill="FFFFFF"/>
        <w:suppressAutoHyphens w:val="false"/>
        <w:spacing w:lineRule="auto" w:line="276" w:before="0" w:after="0"/>
        <w:ind w:left="426" w:right="0" w:hanging="360"/>
        <w:rPr/>
      </w:pPr>
      <w:r>
        <w:rPr>
          <w:rFonts w:eastAsia="Lucida Sans Unicode" w:cs="Tahoma"/>
          <w:sz w:val="24"/>
          <w:lang w:val="el-GR" w:eastAsia="el-GR" w:bidi="el-GR"/>
        </w:rPr>
        <w:t>Άδειασμα δοχείων απορριμμάτων και αντικατάσταση σακούλας απορριμμάτων</w:t>
      </w:r>
      <w:r>
        <w:rPr>
          <w:rFonts w:eastAsia="Arial Unicode MS" w:cs="Tahoma"/>
          <w:bCs/>
          <w:sz w:val="24"/>
          <w:lang w:val="el-GR"/>
        </w:rPr>
        <w:t xml:space="preserve"> (Αποκομιδή απορριμμάτων και μεταφορά τους στους ειδικούς κάδους συλλογής απορριμμάτων του Δήμου)</w:t>
      </w:r>
      <w:r>
        <w:rPr>
          <w:rFonts w:eastAsia="Lucida Sans Unicode" w:cs="Tahoma"/>
          <w:sz w:val="24"/>
          <w:lang w:val="el-GR" w:eastAsia="el-GR" w:bidi="el-GR"/>
        </w:rPr>
        <w:t>.</w:t>
      </w:r>
    </w:p>
    <w:p>
      <w:pPr>
        <w:pStyle w:val="Normal"/>
        <w:numPr>
          <w:ilvl w:val="0"/>
          <w:numId w:val="16"/>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Σκούπισμα και σφουγγάρισμα κοινόχρηστων χώρων (κλιμακοστάσιο, πλατύσκολα, ανελκυστήρες).</w:t>
      </w:r>
    </w:p>
    <w:p>
      <w:pPr>
        <w:pStyle w:val="Normal"/>
        <w:numPr>
          <w:ilvl w:val="0"/>
          <w:numId w:val="16"/>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Καθαρισμός κουπαστών με αντιστατικά ή προεμποτισμένα πανιά.</w:t>
      </w:r>
    </w:p>
    <w:p>
      <w:pPr>
        <w:pStyle w:val="Normal"/>
        <w:numPr>
          <w:ilvl w:val="0"/>
          <w:numId w:val="16"/>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Σκούπισμα, ξεσκόνισμα και σφουγγάρισμα θαλάμων ανελκυστήρων, καθαρισμός των καθρεπτών και των τοίχων των θαλάμων.</w:t>
      </w:r>
    </w:p>
    <w:p>
      <w:pPr>
        <w:pStyle w:val="Normal"/>
        <w:numPr>
          <w:ilvl w:val="0"/>
          <w:numId w:val="16"/>
        </w:numPr>
        <w:shd w:val="clear" w:color="auto" w:fill="FFFFFF"/>
        <w:suppressAutoHyphens w:val="false"/>
        <w:spacing w:lineRule="auto" w:line="276" w:before="0" w:after="0"/>
        <w:ind w:left="426" w:right="0" w:hanging="360"/>
        <w:rPr>
          <w:rFonts w:cs="Tahoma"/>
          <w:sz w:val="24"/>
          <w:lang w:val="el-GR"/>
        </w:rPr>
      </w:pPr>
      <w:r>
        <w:rPr>
          <w:rFonts w:cs="Tahoma"/>
          <w:sz w:val="24"/>
          <w:lang w:val="el-GR"/>
        </w:rPr>
        <w:t>Καθαρισμός χώρων κουζίνας (πάγκοι, πλακάκια, νιπτήρες).</w:t>
      </w:r>
    </w:p>
    <w:p>
      <w:pPr>
        <w:pStyle w:val="Normal"/>
        <w:numPr>
          <w:ilvl w:val="0"/>
          <w:numId w:val="16"/>
        </w:numPr>
        <w:shd w:val="clear" w:color="auto" w:fill="FFFFFF"/>
        <w:suppressAutoHyphens w:val="false"/>
        <w:spacing w:lineRule="auto" w:line="276" w:before="0" w:after="0"/>
        <w:ind w:left="426" w:right="0" w:hanging="360"/>
        <w:rPr>
          <w:rFonts w:cs="Tahoma"/>
          <w:sz w:val="24"/>
          <w:lang w:val="el-GR"/>
        </w:rPr>
      </w:pPr>
      <w:r>
        <w:rPr>
          <w:rFonts w:cs="Tahoma"/>
          <w:sz w:val="24"/>
          <w:lang w:val="el-GR"/>
        </w:rPr>
        <w:t>Καθαρισμός χειρολαβών θυρών.</w:t>
      </w:r>
    </w:p>
    <w:p>
      <w:pPr>
        <w:pStyle w:val="Normal"/>
        <w:shd w:val="clear" w:color="auto" w:fill="FFFFFF"/>
        <w:suppressAutoHyphens w:val="false"/>
        <w:spacing w:lineRule="auto" w:line="276" w:before="0" w:after="0"/>
        <w:ind w:left="426" w:right="0" w:hanging="0"/>
        <w:rPr>
          <w:rFonts w:eastAsia="Arial Unicode MS" w:cs="Tahoma"/>
          <w:bCs/>
          <w:sz w:val="24"/>
          <w:lang w:val="el-GR"/>
        </w:rPr>
      </w:pPr>
      <w:r>
        <w:rPr>
          <w:rFonts w:eastAsia="Arial Unicode MS" w:cs="Tahoma"/>
          <w:bCs/>
          <w:sz w:val="24"/>
          <w:lang w:val="el-GR"/>
        </w:rPr>
      </w:r>
    </w:p>
    <w:p>
      <w:pPr>
        <w:pStyle w:val="Normal"/>
        <w:shd w:val="clear" w:color="auto" w:fill="FFFFFF"/>
        <w:suppressAutoHyphens w:val="false"/>
        <w:spacing w:lineRule="auto" w:line="276" w:before="0" w:after="0"/>
        <w:ind w:left="426" w:right="0" w:hanging="0"/>
        <w:rPr>
          <w:rFonts w:cs="Tahoma"/>
          <w:b/>
          <w:b/>
          <w:sz w:val="24"/>
          <w:u w:val="single"/>
          <w:lang w:val="el-GR"/>
        </w:rPr>
      </w:pPr>
      <w:r>
        <w:rPr>
          <w:rFonts w:cs="Tahoma"/>
          <w:b/>
          <w:sz w:val="24"/>
          <w:u w:val="single"/>
          <w:lang w:val="el-GR"/>
        </w:rPr>
        <w:t>1.2  ΚΑΘΗΜΕΡΙΝΕΣ ΕΡΓΑΣΙΕΣ ΣΕ ΧΩΡΟΥΣ ΥΓΙΕΙΝΗΣ</w:t>
      </w:r>
    </w:p>
    <w:p>
      <w:pPr>
        <w:pStyle w:val="Normal"/>
        <w:numPr>
          <w:ilvl w:val="0"/>
          <w:numId w:val="16"/>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Σκούπισμα και σφουγγάρισμα/απολύμανση δαπέδου με απολυμαντικό διάλυμα.</w:t>
      </w:r>
    </w:p>
    <w:p>
      <w:pPr>
        <w:pStyle w:val="Normal"/>
        <w:numPr>
          <w:ilvl w:val="0"/>
          <w:numId w:val="16"/>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Άδειασμα και καθάρισμα/πλύσιμο/απολύμανση δοχείων απορριμμάτων και πιγκάλ.</w:t>
      </w:r>
    </w:p>
    <w:p>
      <w:pPr>
        <w:pStyle w:val="Normal"/>
        <w:numPr>
          <w:ilvl w:val="0"/>
          <w:numId w:val="16"/>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Πλύσιμο/τρίψιμο/απολύμανση των ειδών υγιεινής (λεκάνες, νιπτήρες, μπαταρίες) με απολυμαντικό/χλώριο και σαπούνι αρωματικό.</w:t>
      </w:r>
    </w:p>
    <w:p>
      <w:pPr>
        <w:pStyle w:val="Normal"/>
        <w:numPr>
          <w:ilvl w:val="0"/>
          <w:numId w:val="16"/>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Καθαρισμός/τρίψιμο τοίχων/πλακιδίων με πανιά προεμποτισμένα σε απολυμαντικό διάλυμα.</w:t>
      </w:r>
    </w:p>
    <w:p>
      <w:pPr>
        <w:pStyle w:val="Normal"/>
        <w:numPr>
          <w:ilvl w:val="0"/>
          <w:numId w:val="16"/>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Καθαρισμός θηκών χειροπετσετών και σαπουνοθηκών.</w:t>
      </w:r>
    </w:p>
    <w:p>
      <w:pPr>
        <w:pStyle w:val="Normal"/>
        <w:numPr>
          <w:ilvl w:val="0"/>
          <w:numId w:val="16"/>
        </w:numPr>
        <w:shd w:val="clear" w:color="auto" w:fill="FFFFFF"/>
        <w:suppressAutoHyphens w:val="false"/>
        <w:spacing w:lineRule="auto" w:line="276" w:before="0" w:after="0"/>
        <w:ind w:left="426" w:right="0" w:hanging="360"/>
        <w:rPr>
          <w:rFonts w:eastAsia="Lucida Sans Unicode" w:cs="Tahoma"/>
          <w:sz w:val="24"/>
          <w:lang w:eastAsia="el-GR" w:bidi="el-GR"/>
        </w:rPr>
      </w:pPr>
      <w:r>
        <w:rPr>
          <w:rFonts w:eastAsia="Lucida Sans Unicode" w:cs="Tahoma"/>
          <w:sz w:val="24"/>
          <w:lang w:eastAsia="el-GR" w:bidi="el-GR"/>
        </w:rPr>
        <w:t>Καθαρισμός καθρεπτών.</w:t>
      </w:r>
    </w:p>
    <w:p>
      <w:pPr>
        <w:pStyle w:val="Normal"/>
        <w:numPr>
          <w:ilvl w:val="0"/>
          <w:numId w:val="16"/>
        </w:numPr>
        <w:shd w:val="clear" w:color="auto" w:fill="FFFFFF"/>
        <w:suppressAutoHyphens w:val="false"/>
        <w:spacing w:lineRule="auto" w:line="276" w:before="0" w:after="0"/>
        <w:ind w:left="426" w:right="0" w:hanging="360"/>
        <w:rPr>
          <w:rFonts w:cs="Tahoma"/>
          <w:sz w:val="24"/>
          <w:lang w:val="el-GR"/>
        </w:rPr>
      </w:pPr>
      <w:r>
        <w:rPr>
          <w:rFonts w:cs="Tahoma"/>
          <w:sz w:val="24"/>
          <w:lang w:val="el-GR"/>
        </w:rPr>
        <w:t>Καθαρισμός χειρολαβών θυρών.</w:t>
      </w:r>
    </w:p>
    <w:p>
      <w:pPr>
        <w:pStyle w:val="Normal"/>
        <w:numPr>
          <w:ilvl w:val="0"/>
          <w:numId w:val="16"/>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Τοποθέτηση χαρτιού υγείας, αντικατάσταση ή συμπλήρωση σαπουνιού, χειροπετσετών, σακούλων απορριμμάτων.</w:t>
      </w:r>
    </w:p>
    <w:p>
      <w:pPr>
        <w:pStyle w:val="Normal"/>
        <w:shd w:val="clear" w:color="auto" w:fill="FFFFFF"/>
        <w:suppressAutoHyphens w:val="false"/>
        <w:spacing w:lineRule="auto" w:line="276" w:before="0" w:after="0"/>
        <w:ind w:left="426" w:right="0" w:hanging="0"/>
        <w:rPr>
          <w:rFonts w:eastAsia="Arial Unicode MS" w:cs="Tahoma"/>
          <w:bCs/>
          <w:sz w:val="24"/>
          <w:lang w:val="el-GR"/>
        </w:rPr>
      </w:pPr>
      <w:r>
        <w:rPr>
          <w:rFonts w:eastAsia="Arial Unicode MS" w:cs="Tahoma"/>
          <w:bCs/>
          <w:sz w:val="24"/>
          <w:lang w:val="el-GR"/>
        </w:rPr>
      </w:r>
    </w:p>
    <w:p>
      <w:pPr>
        <w:pStyle w:val="Normal"/>
        <w:shd w:val="clear" w:color="auto" w:fill="FFFFFF"/>
        <w:suppressAutoHyphens w:val="false"/>
        <w:spacing w:lineRule="auto" w:line="276" w:before="0" w:after="0"/>
        <w:ind w:left="426" w:right="0" w:hanging="0"/>
        <w:rPr/>
      </w:pPr>
      <w:r>
        <w:rPr>
          <w:rFonts w:cs="Tahoma"/>
          <w:b/>
          <w:sz w:val="24"/>
          <w:u w:val="single"/>
        </w:rPr>
        <w:t>1.3  ΕΒΔΟΜΑΔΙΑΙΕΣ ΕΡΓΑΣΙΕΣ</w:t>
      </w:r>
      <w:r>
        <w:rPr>
          <w:rFonts w:cs="Tahoma"/>
          <w:sz w:val="24"/>
          <w:u w:val="single"/>
          <w:lang w:val="el-GR"/>
        </w:rPr>
        <w:t xml:space="preserve"> </w:t>
      </w:r>
    </w:p>
    <w:p>
      <w:pPr>
        <w:pStyle w:val="Normal"/>
        <w:numPr>
          <w:ilvl w:val="0"/>
          <w:numId w:val="16"/>
        </w:numPr>
        <w:shd w:val="clear" w:color="auto" w:fill="FFFFFF"/>
        <w:suppressAutoHyphens w:val="false"/>
        <w:spacing w:lineRule="auto" w:line="276" w:before="0" w:after="0"/>
        <w:ind w:left="426" w:right="0" w:hanging="426"/>
        <w:rPr>
          <w:rFonts w:cs="Tahoma"/>
          <w:sz w:val="24"/>
          <w:lang w:val="el-GR"/>
        </w:rPr>
      </w:pPr>
      <w:r>
        <w:rPr>
          <w:rFonts w:cs="Tahoma"/>
          <w:sz w:val="24"/>
          <w:lang w:val="el-GR"/>
        </w:rPr>
        <w:t>Καθαρισμός κάδων/καλαθιών απορριμμάτων, εσωτερικά και εξωτερικά.</w:t>
      </w:r>
    </w:p>
    <w:p>
      <w:pPr>
        <w:pStyle w:val="Normal"/>
        <w:numPr>
          <w:ilvl w:val="0"/>
          <w:numId w:val="16"/>
        </w:numPr>
        <w:shd w:val="clear" w:color="auto" w:fill="FFFFFF"/>
        <w:suppressAutoHyphens w:val="false"/>
        <w:spacing w:lineRule="auto" w:line="276" w:before="0" w:after="0"/>
        <w:ind w:left="426" w:right="0" w:hanging="426"/>
        <w:rPr>
          <w:rFonts w:eastAsia="Lucida Sans Unicode" w:cs="Tahoma"/>
          <w:sz w:val="24"/>
          <w:lang w:val="el-GR" w:eastAsia="el-GR" w:bidi="el-GR"/>
        </w:rPr>
      </w:pPr>
      <w:r>
        <w:rPr>
          <w:rFonts w:eastAsia="Lucida Sans Unicode" w:cs="Tahoma"/>
          <w:sz w:val="24"/>
          <w:lang w:val="el-GR" w:eastAsia="el-GR" w:bidi="el-GR"/>
        </w:rPr>
        <w:t>Καθαρισμός κλιματιστικών με απορρυπαντικό και νερό. (Τα κλιματιστικά μηχανήματα δεν απολυμαίνονται με απολυμαντικές ουσίες διότι υπάρχει περίπτωση να δημιουργηθούν τοξικοί ατμοί).</w:t>
      </w:r>
    </w:p>
    <w:p>
      <w:pPr>
        <w:pStyle w:val="Normal"/>
        <w:numPr>
          <w:ilvl w:val="0"/>
          <w:numId w:val="16"/>
        </w:numPr>
        <w:shd w:val="clear" w:color="auto" w:fill="FFFFFF"/>
        <w:suppressAutoHyphens w:val="false"/>
        <w:spacing w:lineRule="auto" w:line="276" w:before="0" w:after="0"/>
        <w:ind w:left="426" w:right="0" w:hanging="426"/>
        <w:rPr>
          <w:rFonts w:eastAsia="Lucida Sans Unicode" w:cs="Tahoma"/>
          <w:sz w:val="24"/>
          <w:lang w:val="el-GR" w:eastAsia="el-GR" w:bidi="el-GR"/>
        </w:rPr>
      </w:pPr>
      <w:r>
        <w:rPr>
          <w:rFonts w:eastAsia="Lucida Sans Unicode" w:cs="Tahoma"/>
          <w:sz w:val="24"/>
          <w:lang w:val="el-GR" w:eastAsia="el-GR" w:bidi="el-GR"/>
        </w:rPr>
        <w:t xml:space="preserve">Ρίψη διαλύματος χλωρίου στα σιφώνια αποχέτευσης. </w:t>
      </w:r>
    </w:p>
    <w:p>
      <w:pPr>
        <w:pStyle w:val="Normal"/>
        <w:numPr>
          <w:ilvl w:val="0"/>
          <w:numId w:val="16"/>
        </w:numPr>
        <w:shd w:val="clear" w:color="auto" w:fill="FFFFFF"/>
        <w:suppressAutoHyphens w:val="false"/>
        <w:spacing w:lineRule="auto" w:line="276" w:before="0" w:after="0"/>
        <w:ind w:left="426" w:right="0" w:hanging="426"/>
        <w:rPr>
          <w:rFonts w:eastAsia="Lucida Sans Unicode" w:cs="Tahoma"/>
          <w:sz w:val="24"/>
          <w:lang w:val="el-GR" w:bidi="el-GR"/>
        </w:rPr>
      </w:pPr>
      <w:r>
        <w:rPr>
          <w:rFonts w:eastAsia="Lucida Sans Unicode" w:cs="Tahoma"/>
          <w:sz w:val="24"/>
          <w:lang w:val="el-GR" w:bidi="el-GR"/>
        </w:rPr>
        <w:t>Καθάρισμα/πλύσιμο των ψυκτών (όπου υπάρχουν) των διαδρόμων με απορρυπαντικό και με απολυμαντικό.</w:t>
      </w:r>
    </w:p>
    <w:p>
      <w:pPr>
        <w:pStyle w:val="Normal"/>
        <w:numPr>
          <w:ilvl w:val="0"/>
          <w:numId w:val="16"/>
        </w:numPr>
        <w:shd w:val="clear" w:color="auto" w:fill="FFFFFF"/>
        <w:suppressAutoHyphens w:val="false"/>
        <w:spacing w:lineRule="auto" w:line="276" w:before="0" w:after="0"/>
        <w:ind w:left="426" w:right="0" w:hanging="426"/>
        <w:rPr>
          <w:rFonts w:eastAsia="Lucida Sans Unicode" w:cs="Tahoma"/>
          <w:sz w:val="24"/>
          <w:lang w:val="el-GR" w:bidi="el-GR"/>
        </w:rPr>
      </w:pPr>
      <w:r>
        <w:rPr>
          <w:rFonts w:eastAsia="Lucida Sans Unicode" w:cs="Tahoma"/>
          <w:sz w:val="24"/>
          <w:lang w:val="el-GR" w:bidi="el-GR"/>
        </w:rPr>
        <w:t>Εξωτερικός καθαρισμός των μηχανημάτων γραφείων (φωτοτυπικά, εκτυπωτές, φαξ κλπ.).</w:t>
      </w:r>
    </w:p>
    <w:p>
      <w:pPr>
        <w:pStyle w:val="Normal"/>
        <w:shd w:val="clear" w:color="auto" w:fill="FFFFFF"/>
        <w:spacing w:lineRule="auto" w:line="276" w:before="0" w:after="0"/>
        <w:ind w:left="426" w:right="0" w:hanging="0"/>
        <w:rPr>
          <w:rFonts w:eastAsia="Arial Unicode MS" w:cs="Tahoma"/>
          <w:bCs/>
          <w:sz w:val="24"/>
          <w:lang w:val="el-GR"/>
        </w:rPr>
      </w:pPr>
      <w:r>
        <w:rPr>
          <w:rFonts w:eastAsia="Arial Unicode MS" w:cs="Tahoma"/>
          <w:bCs/>
          <w:sz w:val="24"/>
          <w:lang w:val="el-GR"/>
        </w:rPr>
      </w:r>
    </w:p>
    <w:p>
      <w:pPr>
        <w:pStyle w:val="Normal"/>
        <w:shd w:val="clear" w:color="auto" w:fill="FFFFFF"/>
        <w:spacing w:lineRule="auto" w:line="276" w:before="0" w:after="0"/>
        <w:ind w:left="426" w:right="0" w:hanging="0"/>
        <w:rPr>
          <w:rFonts w:eastAsia="Arial Unicode MS" w:cs="Tahoma"/>
          <w:bCs/>
          <w:sz w:val="24"/>
          <w:lang w:val="el-GR"/>
        </w:rPr>
      </w:pPr>
      <w:r>
        <w:rPr>
          <w:rFonts w:eastAsia="Arial Unicode MS" w:cs="Tahoma"/>
          <w:bCs/>
          <w:sz w:val="24"/>
          <w:lang w:val="el-GR"/>
        </w:rPr>
      </w:r>
    </w:p>
    <w:p>
      <w:pPr>
        <w:pStyle w:val="Normal"/>
        <w:shd w:val="clear" w:color="auto" w:fill="FFFFFF"/>
        <w:suppressAutoHyphens w:val="false"/>
        <w:spacing w:lineRule="auto" w:line="276" w:before="0" w:after="0"/>
        <w:ind w:left="426" w:right="0" w:hanging="0"/>
        <w:rPr/>
      </w:pPr>
      <w:r>
        <w:rPr>
          <w:rFonts w:cs="Tahoma"/>
          <w:b/>
          <w:sz w:val="24"/>
          <w:u w:val="single"/>
        </w:rPr>
        <w:t>1.4  ΜΗΝΙΑΙΕΣ ΕΡΓΑΣΙΕΣ</w:t>
      </w:r>
      <w:r>
        <w:rPr>
          <w:rFonts w:eastAsia="Lucida Sans Unicode" w:cs="Tahoma"/>
          <w:sz w:val="24"/>
          <w:u w:val="single"/>
          <w:lang w:val="el-GR" w:eastAsia="el-GR" w:bidi="el-GR"/>
        </w:rPr>
        <w:t xml:space="preserve"> </w:t>
      </w:r>
    </w:p>
    <w:p>
      <w:pPr>
        <w:pStyle w:val="Normal"/>
        <w:numPr>
          <w:ilvl w:val="0"/>
          <w:numId w:val="17"/>
        </w:numPr>
        <w:shd w:val="clear" w:color="auto" w:fill="FFFFFF"/>
        <w:suppressAutoHyphens w:val="false"/>
        <w:spacing w:lineRule="auto" w:line="276" w:before="0" w:after="0"/>
        <w:ind w:left="426" w:right="0" w:hanging="360"/>
        <w:rPr/>
      </w:pPr>
      <w:r>
        <w:rPr>
          <w:rFonts w:eastAsia="Lucida Sans Unicode" w:cs="Tahoma"/>
          <w:sz w:val="24"/>
          <w:lang w:val="el-GR" w:eastAsia="el-GR" w:bidi="el-GR"/>
        </w:rPr>
        <w:t>Σκούπισμα - καθάρισμα - πλύσιμο με πιεστικό νερού σε ακάλυπτους χώρους, πεζοδρόμια, εξωτερικά περβάζια, προαύλιους χώρους, φρεάτια, φωταγωγούς, στόμια κλιματισμού, ζαρντινιέρες, βεράντες</w:t>
      </w:r>
      <w:r>
        <w:rPr>
          <w:rFonts w:cs="Tahoma"/>
          <w:sz w:val="24"/>
          <w:lang w:val="el-GR"/>
        </w:rPr>
        <w:t xml:space="preserve"> </w:t>
      </w:r>
      <w:r>
        <w:rPr>
          <w:rFonts w:eastAsia="Lucida Sans Unicode" w:cs="Tahoma"/>
          <w:sz w:val="24"/>
          <w:lang w:val="el-GR" w:eastAsia="el-GR" w:bidi="el-GR"/>
        </w:rPr>
        <w:t>(όπου απαιτείται).</w:t>
      </w:r>
    </w:p>
    <w:p>
      <w:pPr>
        <w:pStyle w:val="Normal"/>
        <w:numPr>
          <w:ilvl w:val="0"/>
          <w:numId w:val="17"/>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Πλύσιμο παραθύρων, ξεσκόνισμα περσίδων / βενετικών στορ με αντιστατικά ή προεμποτισμένα πανιά.</w:t>
      </w:r>
    </w:p>
    <w:p>
      <w:pPr>
        <w:pStyle w:val="Normal"/>
        <w:numPr>
          <w:ilvl w:val="0"/>
          <w:numId w:val="17"/>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Καθαρισμός υαλοπινάκων εσωτερικά και όπου υπάρχει δυνατότητα ασφαλούς πρόσβασης και εξωτερικά.</w:t>
      </w:r>
    </w:p>
    <w:p>
      <w:pPr>
        <w:pStyle w:val="Normal"/>
        <w:numPr>
          <w:ilvl w:val="0"/>
          <w:numId w:val="17"/>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Τοπικός καθαρισμός λεκέδων σε πόρτες και τοίχους.</w:t>
      </w:r>
    </w:p>
    <w:p>
      <w:pPr>
        <w:pStyle w:val="Normal"/>
        <w:numPr>
          <w:ilvl w:val="0"/>
          <w:numId w:val="17"/>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Άδειασμα του εσωτερικού κάδου ανακύκλωσης (όπου υπάρχει) στον κάδο ανακύκλωσης του Δήμου.</w:t>
      </w:r>
    </w:p>
    <w:p>
      <w:pPr>
        <w:pStyle w:val="Normal"/>
        <w:shd w:val="clear" w:color="auto" w:fill="FFFFFF"/>
        <w:spacing w:lineRule="auto" w:line="276" w:before="0" w:after="0"/>
        <w:ind w:left="426" w:right="0" w:hanging="0"/>
        <w:rPr>
          <w:rFonts w:eastAsia="Arial Unicode MS" w:cs="Tahoma"/>
          <w:bCs/>
          <w:sz w:val="24"/>
          <w:lang w:val="el-GR"/>
        </w:rPr>
      </w:pPr>
      <w:r>
        <w:rPr>
          <w:rFonts w:eastAsia="Arial Unicode MS" w:cs="Tahoma"/>
          <w:bCs/>
          <w:sz w:val="24"/>
          <w:lang w:val="el-GR"/>
        </w:rPr>
      </w:r>
    </w:p>
    <w:p>
      <w:pPr>
        <w:pStyle w:val="Normal"/>
        <w:shd w:val="clear" w:color="auto" w:fill="FFFFFF"/>
        <w:spacing w:lineRule="auto" w:line="276" w:before="0" w:after="0"/>
        <w:rPr>
          <w:rFonts w:cs="Tahoma"/>
          <w:b/>
          <w:b/>
          <w:sz w:val="24"/>
          <w:u w:val="single"/>
          <w:lang w:val="el-GR"/>
        </w:rPr>
      </w:pPr>
      <w:r>
        <w:rPr>
          <w:rFonts w:cs="Tahoma"/>
          <w:b/>
          <w:sz w:val="24"/>
          <w:u w:val="single"/>
          <w:lang w:val="el-GR"/>
        </w:rPr>
        <w:t xml:space="preserve">1.5. ΜΗΝΙΑΙΕΣ ΕΡΓΑΣΙΕΣ ΣΕ ΑΡΧΕΙΑΚΟΥΣ/ΒΟΗΘΗΤΙΚΟΥΣ ΧΩΡΟΥΣ/ΑΠΟΘΗΚΕΣ </w:t>
      </w:r>
    </w:p>
    <w:p>
      <w:pPr>
        <w:pStyle w:val="Normal"/>
        <w:numPr>
          <w:ilvl w:val="0"/>
          <w:numId w:val="17"/>
        </w:numPr>
        <w:shd w:val="clear" w:color="auto" w:fill="FFFFFF"/>
        <w:suppressAutoHyphens w:val="false"/>
        <w:spacing w:lineRule="auto" w:line="276" w:before="0" w:after="0"/>
        <w:ind w:left="426" w:right="0" w:hanging="360"/>
        <w:rPr/>
      </w:pPr>
      <w:r>
        <w:rPr>
          <w:rFonts w:cs="Tahoma"/>
          <w:sz w:val="24"/>
          <w:lang w:val="el-GR"/>
        </w:rPr>
        <w:t>Ξ</w:t>
      </w:r>
      <w:r>
        <w:rPr>
          <w:rFonts w:eastAsia="Lucida Sans Unicode" w:cs="Tahoma"/>
          <w:sz w:val="24"/>
          <w:lang w:val="el-GR" w:eastAsia="el-GR" w:bidi="el-GR"/>
        </w:rPr>
        <w:t>εσκόνισμα των ραφιών, σκούπισμα και σφουγγάρισμα των χώρων, συμπεριλαμβανομένων των κοινόχρηστων χώρων (κλιμακοστάσια, πλατύσκαλα, ανελκυστήρες).</w:t>
      </w:r>
    </w:p>
    <w:p>
      <w:pPr>
        <w:pStyle w:val="Normal"/>
        <w:numPr>
          <w:ilvl w:val="0"/>
          <w:numId w:val="17"/>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Άδειασμα δοχείων απορριμμάτων και αντικατάσταση σακούλας απορριμμάτων.</w:t>
      </w:r>
    </w:p>
    <w:p>
      <w:pPr>
        <w:pStyle w:val="Normal"/>
        <w:shd w:val="clear" w:color="auto" w:fill="FFFFFF"/>
        <w:suppressAutoHyphens w:val="false"/>
        <w:spacing w:lineRule="auto" w:line="276" w:before="0" w:after="0"/>
        <w:ind w:left="426" w:right="0" w:hanging="0"/>
        <w:rPr>
          <w:rFonts w:eastAsia="Arial Unicode MS" w:cs="Tahoma"/>
          <w:bCs/>
          <w:sz w:val="24"/>
          <w:lang w:val="el-GR"/>
        </w:rPr>
      </w:pPr>
      <w:r>
        <w:rPr>
          <w:rFonts w:eastAsia="Arial Unicode MS" w:cs="Tahoma"/>
          <w:bCs/>
          <w:sz w:val="24"/>
          <w:lang w:val="el-GR"/>
        </w:rPr>
      </w:r>
    </w:p>
    <w:p>
      <w:pPr>
        <w:pStyle w:val="Normal"/>
        <w:numPr>
          <w:ilvl w:val="0"/>
          <w:numId w:val="15"/>
        </w:numPr>
        <w:shd w:val="clear" w:color="auto" w:fill="FFFFFF"/>
        <w:spacing w:before="0" w:after="0"/>
        <w:ind w:left="426" w:right="0" w:hanging="360"/>
        <w:rPr>
          <w:rFonts w:eastAsia="Lucida Sans Unicode" w:cs="Tahoma"/>
          <w:b/>
          <w:b/>
          <w:color w:val="17365D"/>
          <w:sz w:val="24"/>
          <w:szCs w:val="24"/>
          <w:lang w:bidi="el-GR"/>
        </w:rPr>
      </w:pPr>
      <w:r>
        <w:rPr>
          <w:rFonts w:eastAsia="Lucida Sans Unicode" w:cs="Tahoma"/>
          <w:b/>
          <w:color w:val="17365D"/>
          <w:sz w:val="24"/>
          <w:szCs w:val="24"/>
          <w:lang w:bidi="el-GR"/>
        </w:rPr>
        <w:t>ΑΠΑΙΤΟΥΜΕΝΟΣ (ΚΑΤΑ ΠΕΡΙΠΤΩΣΗ ΕΞΟΠΛΙΣΜΟΣ &amp; ΜΗΧΑΝΗΜΑΤΑ, ΑΠΑΙΤΟΥΜΕΝΑ ΠΡΟΙΟΝΤΑ ΚΑΘΑΡΙΣΜΟΥ &amp; ΑΠΟΛΥΜΑΝΣΗΣ)</w:t>
      </w:r>
    </w:p>
    <w:p>
      <w:pPr>
        <w:pStyle w:val="Normal"/>
        <w:numPr>
          <w:ilvl w:val="0"/>
          <w:numId w:val="18"/>
        </w:numPr>
        <w:shd w:val="clear" w:color="auto" w:fill="FFFFFF"/>
        <w:spacing w:before="0" w:after="0"/>
        <w:ind w:left="426" w:right="0" w:hanging="360"/>
        <w:jc w:val="both"/>
        <w:rPr/>
      </w:pPr>
      <w:r>
        <w:rPr>
          <w:rFonts w:cs="Tahoma"/>
          <w:sz w:val="24"/>
          <w:szCs w:val="24"/>
        </w:rPr>
        <w:t xml:space="preserve">Αντιστατικά και απορροφητικά πανιά διαφόρων χρωμάτων τύπου </w:t>
      </w:r>
      <w:r>
        <w:rPr>
          <w:rFonts w:cs="Tahoma"/>
          <w:sz w:val="24"/>
          <w:szCs w:val="24"/>
          <w:lang w:val="en-US"/>
        </w:rPr>
        <w:t>wettex</w:t>
      </w:r>
      <w:r>
        <w:rPr>
          <w:rFonts w:cs="Tahoma"/>
          <w:sz w:val="24"/>
          <w:szCs w:val="24"/>
        </w:rPr>
        <w:t xml:space="preserve"> ή ισοδύναμου.</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Σφουγγαράκια καθαρισμού αντίστοιχων χρωμάτων και διαφορετικού τύπου (μαλακό, μέτριο, σκληρό).</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Σφουγγαρίστρες διαφόρων τύπων και αντίστοιχα κοντάρια.</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Σάρωθρα ξηρού καθαρισμού (σκούπες) και αντίστοιχα κοντάρια.</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Φαράσια.</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Καθαριστήρες περσίδων.</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Υαλοκαθαριστήρες διαφόρων διαστάσεων με τα εξαρτήματά τους.</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Ψεκαστήρες.</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Γάντια οικιακού τύπου διαφόρων χρωμάτων.</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Μικροί κουβάδες χωρητικότητας έως 10 λίτρων.</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Απορρυπαντικό τοίχων και δαπέδων, απορρυπαντικό υαλοπινάκων, απορρυπαντικό και απολυμαντικό ειδών υγιεινής.</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Σακούλες πλαστικές απορριμμάτων, ανθεκτικές, μεγάλες και μικρές.</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Καρότσια καθαρισμού, με στηρίγματα για κοντάρια και σάκο απορριμμάτων, ράφια για τα υλικά καθαρισμού (απορρυπαντικά και απολυμαντικά) και τις ανταλλακτικές σακούλες απορριμμάτων, με σύστημα 2 κουβάδων, με κάδους σφουγγαρίσματος διπλού συστήματος, με πρόσθετη πρέσα στυψίματος. Στον ένα κουβά θα υπάρχει το διάλυμα υλικού καθαριότητας και στον άλλο κουβά καθαρό νερό για το ξέπλυμα της σφουγγαρίστρας.</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Πιεστικό μηχάνημα νερού για τον καθαρισμό υπό πίεση επιφανειών, όπως εξωτερικοί χώροι, πεζοδρόμια, ράμπες, προαύλια, κ.λπ. (όπου απαιτείται).</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Λάστιχα.</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Μπαλαντέζες.</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Καρότσια σφουγγαρίσματος, με κάδους σφουγγαρίσματος (μπλε και κόκκινους) διπλού συστήματος, τα οποία θα διαθέτουν δύο κουβάδες χωρητικότητας έως 25 λίτρων, με πρόσθετη πρέσα στυψίματος. Στον ένα κουβά θα υπάρχει το διάλυμα υλικού καθαριότητας και στον άλλο κουβά καθαρό νερό για το ξέπλυμα της σφουγγαρίστρας.</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Πινακίδες δαπέδου με την ένδειξη «ΠΡΟΣΟΧΗ ΒΡΕΓΜΕΝΟ ΠΑΤΩΜΑ» για την αποφυγή ατυχημάτων.</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Ηλεκτρικές σκούπες επαγγελματικού τύπου, με ειδικό φίλτρο κατακράτησης σκόνης.</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Ηλεκτροκίνητες μηχανές πλύσης δαπέδων για υγρό καθαρισμό και στέγνωμα δαπέδων, σε μεγάλες επιφάνειες.</w:t>
      </w:r>
    </w:p>
    <w:p>
      <w:pPr>
        <w:pStyle w:val="Normal"/>
        <w:numPr>
          <w:ilvl w:val="0"/>
          <w:numId w:val="18"/>
        </w:numPr>
        <w:shd w:val="clear" w:color="auto" w:fill="FFFFFF"/>
        <w:spacing w:before="0" w:after="0"/>
        <w:ind w:left="426" w:right="0" w:hanging="360"/>
        <w:jc w:val="both"/>
        <w:rPr>
          <w:rFonts w:cs="Tahoma"/>
          <w:sz w:val="24"/>
          <w:szCs w:val="24"/>
        </w:rPr>
      </w:pPr>
      <w:r>
        <w:rPr>
          <w:rFonts w:cs="Tahoma"/>
          <w:sz w:val="24"/>
          <w:szCs w:val="24"/>
        </w:rPr>
        <w:t>Μηχανές πλυσίματος μοκετών.</w:t>
      </w:r>
    </w:p>
    <w:p>
      <w:pPr>
        <w:pStyle w:val="Normal"/>
        <w:shd w:val="clear" w:color="auto" w:fill="FFFFFF"/>
        <w:spacing w:before="0" w:after="0"/>
        <w:ind w:left="426" w:right="0" w:hanging="0"/>
        <w:jc w:val="both"/>
        <w:rPr>
          <w:rFonts w:cs="Tahoma"/>
          <w:sz w:val="24"/>
          <w:szCs w:val="24"/>
        </w:rPr>
      </w:pPr>
      <w:r>
        <w:rPr>
          <w:rFonts w:cs="Tahoma"/>
          <w:sz w:val="24"/>
          <w:szCs w:val="24"/>
        </w:rPr>
      </w:r>
    </w:p>
    <w:p>
      <w:pPr>
        <w:pStyle w:val="Normal"/>
        <w:numPr>
          <w:ilvl w:val="0"/>
          <w:numId w:val="15"/>
        </w:numPr>
        <w:shd w:val="clear" w:color="auto" w:fill="FFFFFF"/>
        <w:spacing w:before="0" w:after="0"/>
        <w:ind w:left="426" w:right="0" w:hanging="360"/>
        <w:jc w:val="both"/>
        <w:rPr>
          <w:rFonts w:cs="Tahoma"/>
          <w:b/>
          <w:b/>
          <w:color w:val="17365D"/>
          <w:sz w:val="24"/>
          <w:szCs w:val="24"/>
        </w:rPr>
      </w:pPr>
      <w:r>
        <w:rPr>
          <w:rFonts w:cs="Tahoma"/>
          <w:b/>
          <w:color w:val="17365D"/>
          <w:sz w:val="24"/>
          <w:szCs w:val="24"/>
        </w:rPr>
        <w:t>Ο ΧΡΗΣΙΜΟΠΟΙΟΥΜΕΝΟΣ ΤΕΧΝΙΚΟΣ ΕΞΟΠΛΙΣΜΟΣ ΚΑΙ ΤΑ ΧΡΗΣΙΜΟΠΟΙΟΥΜΕΝΑ ΠΡΟΪΟΝΤΑ ΚΑΘΑΡΙΣΜΟΥ &amp; ΑΠΟΛΥΜΑΝΣΗΣ ΠΡΕΠΕΙ ΝΑ ΠΛΗΡΟΥΝ ΤΙΣ ΕΞΗΣ ΠΡΟΔΙΑΓΡΑΦΕΣ:</w:t>
      </w:r>
    </w:p>
    <w:p>
      <w:pPr>
        <w:pStyle w:val="Normal"/>
        <w:numPr>
          <w:ilvl w:val="0"/>
          <w:numId w:val="19"/>
        </w:numPr>
        <w:shd w:val="clear" w:color="auto" w:fill="FFFFFF"/>
        <w:spacing w:before="0" w:after="0"/>
        <w:ind w:left="426" w:right="0" w:hanging="360"/>
        <w:jc w:val="both"/>
        <w:rPr>
          <w:rFonts w:cs="Tahoma"/>
          <w:sz w:val="24"/>
          <w:szCs w:val="24"/>
        </w:rPr>
      </w:pPr>
      <w:r>
        <w:rPr>
          <w:rFonts w:cs="Tahoma"/>
          <w:sz w:val="24"/>
          <w:szCs w:val="24"/>
        </w:rPr>
        <w:t>Ο εξοπλισμός να ανταποκρίνεται πλήρως στις ανάγκες της Υπηρεσίας για την καθαριότητα.</w:t>
      </w:r>
    </w:p>
    <w:p>
      <w:pPr>
        <w:pStyle w:val="Normal"/>
        <w:numPr>
          <w:ilvl w:val="0"/>
          <w:numId w:val="19"/>
        </w:numPr>
        <w:shd w:val="clear" w:color="auto" w:fill="FFFFFF"/>
        <w:spacing w:before="0" w:after="0"/>
        <w:ind w:left="426" w:right="0" w:hanging="360"/>
        <w:jc w:val="both"/>
        <w:rPr>
          <w:rFonts w:cs="Tahoma"/>
          <w:sz w:val="24"/>
          <w:szCs w:val="24"/>
        </w:rPr>
      </w:pPr>
      <w:r>
        <w:rPr>
          <w:rFonts w:cs="Tahoma"/>
          <w:sz w:val="24"/>
          <w:szCs w:val="24"/>
        </w:rPr>
        <w:t>Ο εξοπλισμός και τα υλικά καθαρισμού, να είναι πρώτης ποιότητας και πλέον κατάλληλος/α για τις επιφάνειες που προορίζονται (πλακάκια κεραμικά, ξύλινες και μεταλλικές επιφάνειες, επιφάνειες με μελαμίνη, μαρμάρινες επιφάνειες, τζάμια, κλπ.),</w:t>
      </w:r>
    </w:p>
    <w:p>
      <w:pPr>
        <w:pStyle w:val="Normal"/>
        <w:numPr>
          <w:ilvl w:val="0"/>
          <w:numId w:val="19"/>
        </w:numPr>
        <w:shd w:val="clear" w:color="auto" w:fill="FFFFFF"/>
        <w:spacing w:before="0" w:after="0"/>
        <w:ind w:left="426" w:right="0" w:hanging="360"/>
        <w:jc w:val="both"/>
        <w:rPr>
          <w:rFonts w:cs="Tahoma"/>
          <w:sz w:val="24"/>
          <w:szCs w:val="24"/>
        </w:rPr>
      </w:pPr>
      <w:r>
        <w:rPr>
          <w:rFonts w:cs="Tahoma"/>
          <w:sz w:val="24"/>
          <w:szCs w:val="24"/>
        </w:rPr>
        <w:t>Τα αναγκαία σκεύη, εργαλεία και υλικά καθαρισμού να μην προκαλούν φθορές (βραχυχρόνια και μακροχρόνια) στις εγκαταστάσεις και στον εξοπλισμό του κτιρίου.</w:t>
      </w:r>
    </w:p>
    <w:p>
      <w:pPr>
        <w:pStyle w:val="Normal"/>
        <w:numPr>
          <w:ilvl w:val="0"/>
          <w:numId w:val="19"/>
        </w:numPr>
        <w:shd w:val="clear" w:color="auto" w:fill="FFFFFF"/>
        <w:spacing w:before="0" w:after="0"/>
        <w:ind w:left="426" w:right="0" w:hanging="360"/>
        <w:jc w:val="both"/>
        <w:rPr>
          <w:rFonts w:cs="Tahoma"/>
          <w:sz w:val="24"/>
          <w:szCs w:val="24"/>
        </w:rPr>
      </w:pPr>
      <w:r>
        <w:rPr>
          <w:rFonts w:cs="Tahoma"/>
          <w:sz w:val="24"/>
          <w:szCs w:val="24"/>
        </w:rPr>
        <w:t>Τα μηχανήματα καθαρισμού θα πρέπει να βρίσκονται σε άριστη κατάσταση τόσο από άποψη λειτουργίας όσο και από εμφάνιση και να είναι όσο το δυνατόν αθόρυβα.</w:t>
      </w:r>
    </w:p>
    <w:p>
      <w:pPr>
        <w:pStyle w:val="Normal"/>
        <w:numPr>
          <w:ilvl w:val="0"/>
          <w:numId w:val="19"/>
        </w:numPr>
        <w:shd w:val="clear" w:color="auto" w:fill="FFFFFF"/>
        <w:spacing w:before="0" w:after="0"/>
        <w:ind w:left="426" w:right="0" w:hanging="360"/>
        <w:jc w:val="both"/>
        <w:rPr>
          <w:rFonts w:cs="Tahoma"/>
          <w:sz w:val="24"/>
          <w:szCs w:val="24"/>
        </w:rPr>
      </w:pPr>
      <w:r>
        <w:rPr>
          <w:rFonts w:cs="Tahoma"/>
          <w:sz w:val="24"/>
          <w:szCs w:val="24"/>
        </w:rPr>
        <w:t>Τα απαιτούμενα αναλώσιμα υλικά και προϊόντα καθαρισμού και απολύμανσης πρέπει να είναι καινούρια, αμεταχείριστα και κατασκευασμένα – παρασκευασμένα σύμφωνα με τις πρόσφατες επιστημονικές επιταγές και εξελίξεις.</w:t>
      </w:r>
    </w:p>
    <w:p>
      <w:pPr>
        <w:pStyle w:val="Normal"/>
        <w:numPr>
          <w:ilvl w:val="0"/>
          <w:numId w:val="19"/>
        </w:numPr>
        <w:shd w:val="clear" w:color="auto" w:fill="FFFFFF"/>
        <w:spacing w:before="0" w:after="0"/>
        <w:ind w:left="426" w:right="0" w:hanging="360"/>
        <w:jc w:val="both"/>
        <w:rPr>
          <w:rFonts w:cs="Tahoma"/>
          <w:sz w:val="24"/>
          <w:szCs w:val="24"/>
        </w:rPr>
      </w:pPr>
      <w:r>
        <w:rPr>
          <w:rFonts w:cs="Tahoma"/>
          <w:sz w:val="24"/>
          <w:szCs w:val="24"/>
        </w:rPr>
        <w:t>Τα υλικά καθαρισμού που θα χρησιμοποιούνται θα έχουν καθαριστική και απολυμαντική (κατά περίπτωση) δράση.</w:t>
      </w:r>
    </w:p>
    <w:p>
      <w:pPr>
        <w:pStyle w:val="Normal"/>
        <w:numPr>
          <w:ilvl w:val="0"/>
          <w:numId w:val="19"/>
        </w:numPr>
        <w:shd w:val="clear" w:color="auto" w:fill="FFFFFF"/>
        <w:spacing w:before="0" w:after="0"/>
        <w:ind w:left="426" w:right="0" w:hanging="360"/>
        <w:jc w:val="both"/>
        <w:rPr>
          <w:rFonts w:cs="Tahoma"/>
          <w:sz w:val="24"/>
          <w:szCs w:val="24"/>
        </w:rPr>
      </w:pPr>
      <w:r>
        <w:rPr>
          <w:rFonts w:cs="Tahoma"/>
          <w:sz w:val="24"/>
          <w:szCs w:val="24"/>
        </w:rPr>
        <w:t>Τα απορρυπαντικά προϊόντα να μην είναι επιβλαβή για την υγεία του προσωπικού και των επισκεπτών, να μην αναδύουν δυσάρεστες οσμές και να μην προκαλούν φθορές στις εγκαταστάσεις και στον εξοπλισμό των κτιρίων.</w:t>
      </w:r>
    </w:p>
    <w:p>
      <w:pPr>
        <w:pStyle w:val="Normal"/>
        <w:numPr>
          <w:ilvl w:val="0"/>
          <w:numId w:val="19"/>
        </w:numPr>
        <w:shd w:val="clear" w:color="auto" w:fill="FFFFFF"/>
        <w:spacing w:before="0" w:after="0"/>
        <w:ind w:left="426" w:right="0" w:hanging="360"/>
        <w:jc w:val="both"/>
        <w:rPr>
          <w:rFonts w:cs="Tahoma"/>
          <w:sz w:val="24"/>
          <w:szCs w:val="24"/>
        </w:rPr>
      </w:pPr>
      <w:r>
        <w:rPr>
          <w:rFonts w:cs="Tahoma"/>
          <w:sz w:val="24"/>
          <w:szCs w:val="24"/>
        </w:rPr>
        <w:t>Τα προϊόντα καθαρισμού να παρέχονται στο προσωπικό του συνεργείου καθαρισμού στη συσκευασία και με τη σύνθεση – διάλυση της εταιρείας παραγωγής τους.</w:t>
      </w:r>
    </w:p>
    <w:p>
      <w:pPr>
        <w:pStyle w:val="Normal"/>
        <w:numPr>
          <w:ilvl w:val="0"/>
          <w:numId w:val="19"/>
        </w:numPr>
        <w:shd w:val="clear" w:color="auto" w:fill="FFFFFF"/>
        <w:spacing w:before="0" w:after="0"/>
        <w:ind w:left="426" w:right="0" w:hanging="360"/>
        <w:jc w:val="both"/>
        <w:rPr>
          <w:rFonts w:cs="Tahoma"/>
          <w:sz w:val="24"/>
          <w:szCs w:val="24"/>
        </w:rPr>
      </w:pPr>
      <w:r>
        <w:rPr>
          <w:rFonts w:cs="Tahoma"/>
          <w:sz w:val="24"/>
          <w:szCs w:val="24"/>
        </w:rPr>
        <w:t>Όλα τα απορρυπαντικά και απολυμαντικά θα έχουν ετικέτα στην οποία θα αναγράφεται από τον κατασκευαστή η δραστική ουσία και η περιεκτικότητά της στο διάλυμα. Δεν θα χρησιμοποιούνται απορρυπαντικά με την επωνυμία καλλυντικό δαπέδου.</w:t>
      </w:r>
    </w:p>
    <w:p>
      <w:pPr>
        <w:pStyle w:val="Normal"/>
        <w:numPr>
          <w:ilvl w:val="0"/>
          <w:numId w:val="19"/>
        </w:numPr>
        <w:shd w:val="clear" w:color="auto" w:fill="FFFFFF"/>
        <w:spacing w:before="0" w:after="0"/>
        <w:ind w:left="426" w:right="0" w:hanging="360"/>
        <w:jc w:val="both"/>
        <w:rPr>
          <w:rFonts w:cs="Tahoma"/>
          <w:sz w:val="24"/>
          <w:szCs w:val="24"/>
        </w:rPr>
      </w:pPr>
      <w:r>
        <w:rPr>
          <w:rFonts w:cs="Tahoma"/>
          <w:sz w:val="24"/>
          <w:szCs w:val="24"/>
        </w:rPr>
        <w:t>Για κάθε προϊόν απολύμανσης να υπάρχει άδεια έγκρισης κυκλοφορίας από τον ΕΟΦ.</w:t>
      </w:r>
    </w:p>
    <w:p>
      <w:pPr>
        <w:pStyle w:val="Normal"/>
        <w:numPr>
          <w:ilvl w:val="0"/>
          <w:numId w:val="19"/>
        </w:numPr>
        <w:shd w:val="clear" w:color="auto" w:fill="FFFFFF"/>
        <w:spacing w:before="0" w:after="0"/>
        <w:ind w:left="426" w:right="0" w:hanging="360"/>
        <w:jc w:val="both"/>
        <w:rPr>
          <w:rFonts w:cs="Tahoma"/>
          <w:sz w:val="24"/>
          <w:szCs w:val="24"/>
        </w:rPr>
      </w:pPr>
      <w:r>
        <w:rPr>
          <w:rFonts w:cs="Tahoma"/>
          <w:sz w:val="24"/>
          <w:szCs w:val="24"/>
        </w:rPr>
        <w:t>Για τα απορρυπαντικά που ταξινομούνται ως επικίνδυνα βάσει των επιπτώσεών τους στην υγεία ή των φυσικών τους επιπτώσεων, απαιτείται να είναι καταχωρημένα στο Εθνικό Μητρώο Χημικών Προϊόντων του Γ.Χ.Κ.</w:t>
      </w:r>
    </w:p>
    <w:p>
      <w:pPr>
        <w:pStyle w:val="Normal"/>
        <w:shd w:val="clear" w:color="auto" w:fill="FFFFFF"/>
        <w:spacing w:before="0" w:after="0"/>
        <w:ind w:left="709" w:right="0" w:hanging="0"/>
        <w:rPr>
          <w:rFonts w:cs="Tahoma"/>
          <w:b/>
          <w:b/>
          <w:sz w:val="24"/>
          <w:szCs w:val="24"/>
        </w:rPr>
      </w:pPr>
      <w:r>
        <w:rPr>
          <w:rFonts w:cs="Tahoma"/>
          <w:b/>
          <w:sz w:val="24"/>
          <w:szCs w:val="24"/>
        </w:rPr>
      </w:r>
    </w:p>
    <w:p>
      <w:pPr>
        <w:pStyle w:val="Normal"/>
        <w:numPr>
          <w:ilvl w:val="0"/>
          <w:numId w:val="15"/>
        </w:numPr>
        <w:shd w:val="clear" w:color="auto" w:fill="FFFFFF"/>
        <w:spacing w:before="0" w:after="0"/>
        <w:ind w:left="426" w:right="0" w:hanging="360"/>
        <w:rPr>
          <w:rFonts w:cs="Tahoma"/>
          <w:b/>
          <w:b/>
          <w:bCs/>
          <w:color w:val="17365D"/>
          <w:sz w:val="24"/>
          <w:szCs w:val="24"/>
        </w:rPr>
      </w:pPr>
      <w:r>
        <w:rPr>
          <w:rFonts w:cs="Tahoma"/>
          <w:b/>
          <w:bCs/>
          <w:color w:val="17365D"/>
          <w:sz w:val="24"/>
          <w:szCs w:val="24"/>
        </w:rPr>
        <w:t>ΜΕΘΟΔΟΛΟΓΙΑ ΚΑΘΑΡΙΣΜΟΥ</w:t>
      </w:r>
    </w:p>
    <w:p>
      <w:pPr>
        <w:pStyle w:val="Normal"/>
        <w:numPr>
          <w:ilvl w:val="0"/>
          <w:numId w:val="20"/>
        </w:numPr>
        <w:shd w:val="clear" w:color="auto" w:fill="FFFFFF"/>
        <w:spacing w:before="0" w:after="0"/>
        <w:ind w:left="426" w:right="0" w:hanging="360"/>
        <w:jc w:val="both"/>
        <w:rPr>
          <w:rFonts w:cs="Tahoma"/>
          <w:sz w:val="24"/>
          <w:szCs w:val="24"/>
        </w:rPr>
      </w:pPr>
      <w:r>
        <w:rPr>
          <w:rFonts w:cs="Tahoma"/>
          <w:sz w:val="24"/>
          <w:szCs w:val="24"/>
        </w:rPr>
        <w:t>Το προσωπικό καθαριότητας θα πρέπει να φορά ομοιόμορφη στολή εργασίας, η οποία εγκρίνεται και παρέχεται από τον εργοδότη.</w:t>
      </w:r>
    </w:p>
    <w:p>
      <w:pPr>
        <w:pStyle w:val="Normal"/>
        <w:numPr>
          <w:ilvl w:val="0"/>
          <w:numId w:val="20"/>
        </w:numPr>
        <w:shd w:val="clear" w:color="auto" w:fill="FFFFFF"/>
        <w:spacing w:before="0" w:after="0"/>
        <w:ind w:left="426" w:right="0" w:hanging="360"/>
        <w:jc w:val="both"/>
        <w:rPr>
          <w:rFonts w:cs="Tahoma"/>
          <w:sz w:val="24"/>
          <w:szCs w:val="24"/>
        </w:rPr>
      </w:pPr>
      <w:r>
        <w:rPr>
          <w:rFonts w:cs="Tahoma"/>
          <w:sz w:val="24"/>
          <w:szCs w:val="24"/>
        </w:rPr>
        <w:t>Το προσωπικό καθαριότητας θα πρέπει να γνωρίζει τη χρήση του εξοπλισμού και των καθαριστικών που χρησιμοποιεί.</w:t>
      </w:r>
    </w:p>
    <w:p>
      <w:pPr>
        <w:pStyle w:val="Normal"/>
        <w:numPr>
          <w:ilvl w:val="0"/>
          <w:numId w:val="20"/>
        </w:numPr>
        <w:shd w:val="clear" w:color="auto" w:fill="FFFFFF"/>
        <w:spacing w:before="0" w:after="0"/>
        <w:ind w:left="426" w:right="0" w:hanging="360"/>
        <w:jc w:val="both"/>
        <w:rPr>
          <w:rFonts w:cs="Tahoma"/>
          <w:sz w:val="24"/>
          <w:szCs w:val="24"/>
        </w:rPr>
      </w:pPr>
      <w:r>
        <w:rPr>
          <w:rFonts w:cs="Tahoma"/>
          <w:sz w:val="24"/>
          <w:szCs w:val="24"/>
        </w:rPr>
        <w:t>Η διαδικασία καθαριότητας και απολύμανσης συνιστάται να αρχίζει πάντα από τον λιγότερο ακάθαρτο χώρο προς τον περισσότερο ακάθαρτο χώρο. Οι χώροι υγιεινής πρέπει να καθαρίζονται στο τέλος.</w:t>
      </w:r>
    </w:p>
    <w:p>
      <w:pPr>
        <w:pStyle w:val="Normal"/>
        <w:numPr>
          <w:ilvl w:val="0"/>
          <w:numId w:val="20"/>
        </w:numPr>
        <w:shd w:val="clear" w:color="auto" w:fill="FFFFFF"/>
        <w:spacing w:before="0" w:after="0"/>
        <w:ind w:left="426" w:right="0" w:hanging="360"/>
        <w:jc w:val="both"/>
        <w:rPr>
          <w:rFonts w:cs="Tahoma"/>
          <w:sz w:val="24"/>
          <w:szCs w:val="24"/>
        </w:rPr>
      </w:pPr>
      <w:r>
        <w:rPr>
          <w:rFonts w:cs="Tahoma"/>
          <w:sz w:val="24"/>
          <w:szCs w:val="24"/>
        </w:rPr>
        <w:t>Απαγορεύεται η ανάμιξη απορρυπαντικού και απολυμαντικού στον ίδιο κουβά (π.χ. καθαριστικό δαπέδου και χλωρίνη). Η δράση του ενός εξουδετερώνει τη δράση του άλλου.</w:t>
      </w:r>
    </w:p>
    <w:p>
      <w:pPr>
        <w:pStyle w:val="Normal"/>
        <w:numPr>
          <w:ilvl w:val="0"/>
          <w:numId w:val="20"/>
        </w:numPr>
        <w:shd w:val="clear" w:color="auto" w:fill="FFFFFF"/>
        <w:spacing w:before="0" w:after="0"/>
        <w:ind w:left="426" w:right="0" w:hanging="360"/>
        <w:jc w:val="both"/>
        <w:rPr>
          <w:rFonts w:cs="Tahoma"/>
          <w:sz w:val="24"/>
          <w:szCs w:val="24"/>
        </w:rPr>
      </w:pPr>
      <w:r>
        <w:rPr>
          <w:rFonts w:cs="Tahoma"/>
          <w:sz w:val="24"/>
          <w:szCs w:val="24"/>
        </w:rPr>
        <w:t>Οι σφουγγαρίστρες, τα πανιά και τα γάντια θα καθαρίζονται πάντα μετά τη χρήση τους. Θα πλένονται με ζεστό νερό και απορρυπαντικό και θα στεγνώνονται.</w:t>
      </w:r>
    </w:p>
    <w:p>
      <w:pPr>
        <w:pStyle w:val="Normal"/>
        <w:numPr>
          <w:ilvl w:val="0"/>
          <w:numId w:val="20"/>
        </w:numPr>
        <w:shd w:val="clear" w:color="auto" w:fill="FFFFFF"/>
        <w:spacing w:before="0" w:after="0"/>
        <w:ind w:left="426" w:right="0" w:hanging="360"/>
        <w:jc w:val="both"/>
        <w:rPr>
          <w:rFonts w:cs="Tahoma"/>
          <w:sz w:val="24"/>
          <w:szCs w:val="24"/>
        </w:rPr>
      </w:pPr>
      <w:r>
        <w:rPr>
          <w:rFonts w:cs="Tahoma"/>
          <w:sz w:val="24"/>
          <w:szCs w:val="24"/>
        </w:rPr>
        <w:t>Το προσωπικό καθαριότητας απαγορεύεται να αγγίζει με τα γάντια οποιαδήποτε αντικείμενα άσχετα με αυτά που καθαρίζει εκείνη τη στιγμή (πόμολα, τηλεφωνικές συσκευές, προσωπικά αντικείμενα κ.λ.π.).</w:t>
      </w:r>
    </w:p>
    <w:p>
      <w:pPr>
        <w:pStyle w:val="Normal"/>
        <w:numPr>
          <w:ilvl w:val="0"/>
          <w:numId w:val="20"/>
        </w:numPr>
        <w:shd w:val="clear" w:color="auto" w:fill="FFFFFF"/>
        <w:spacing w:before="0" w:after="0"/>
        <w:ind w:left="426" w:right="0" w:hanging="360"/>
        <w:jc w:val="both"/>
        <w:rPr>
          <w:rFonts w:cs="Tahoma"/>
          <w:sz w:val="24"/>
          <w:szCs w:val="24"/>
        </w:rPr>
      </w:pPr>
      <w:r>
        <w:rPr>
          <w:rFonts w:cs="Tahoma"/>
          <w:sz w:val="24"/>
          <w:szCs w:val="24"/>
        </w:rPr>
        <w:t>Θα τηρείται σχολαστικά η χρήση των διαφορετικού χρώματος πανιών και γαντιών για τον καθαρισμό διαφορετικών χώρων και αντικειμένων.</w:t>
      </w:r>
    </w:p>
    <w:p>
      <w:pPr>
        <w:pStyle w:val="Normal"/>
        <w:numPr>
          <w:ilvl w:val="0"/>
          <w:numId w:val="20"/>
        </w:numPr>
        <w:shd w:val="clear" w:color="auto" w:fill="FFFFFF"/>
        <w:spacing w:before="0" w:after="0"/>
        <w:ind w:left="426" w:right="0" w:hanging="360"/>
        <w:jc w:val="both"/>
        <w:rPr>
          <w:rFonts w:cs="Tahoma"/>
          <w:sz w:val="24"/>
          <w:szCs w:val="24"/>
        </w:rPr>
      </w:pPr>
      <w:r>
        <w:rPr>
          <w:rFonts w:cs="Tahoma"/>
          <w:sz w:val="24"/>
          <w:szCs w:val="24"/>
        </w:rPr>
        <w:t>Θα χρησιμοποιούνται σφουγγαρίστρες διαφορετικές για γραφεία-κοινόχρηστους χώρους και διαφορετικές για W.C.</w:t>
      </w:r>
    </w:p>
    <w:p>
      <w:pPr>
        <w:pStyle w:val="Normal"/>
        <w:numPr>
          <w:ilvl w:val="0"/>
          <w:numId w:val="20"/>
        </w:numPr>
        <w:shd w:val="clear" w:color="auto" w:fill="FFFFFF"/>
        <w:spacing w:before="0" w:after="0"/>
        <w:ind w:left="426" w:right="0" w:hanging="360"/>
        <w:jc w:val="both"/>
        <w:rPr>
          <w:rFonts w:cs="Tahoma"/>
          <w:sz w:val="24"/>
          <w:szCs w:val="24"/>
        </w:rPr>
      </w:pPr>
      <w:r>
        <w:rPr>
          <w:rFonts w:cs="Tahoma"/>
          <w:sz w:val="24"/>
          <w:szCs w:val="24"/>
        </w:rPr>
        <w:t>Τα καρότσια καθαριότητας και οι κουβάδες θα διατηρούνται πάντα καθαρά.</w:t>
      </w:r>
    </w:p>
    <w:p>
      <w:pPr>
        <w:pStyle w:val="Normal"/>
        <w:numPr>
          <w:ilvl w:val="0"/>
          <w:numId w:val="20"/>
        </w:numPr>
        <w:shd w:val="clear" w:color="auto" w:fill="FFFFFF"/>
        <w:spacing w:before="0" w:after="0"/>
        <w:ind w:left="426" w:right="0" w:hanging="360"/>
        <w:jc w:val="both"/>
        <w:rPr/>
      </w:pPr>
      <w:r>
        <w:rPr>
          <w:rFonts w:cs="Tahoma"/>
          <w:sz w:val="24"/>
          <w:szCs w:val="24"/>
        </w:rPr>
        <w:t>Απαγορεύεται η αποθήκευση των καροτσιών καθαριότητας σε εισόδους κλιμακοστασίων και εξόδους κινδύνου, σε χώρους υγιεινής και προθαλάμους αυτών. Πρέπει να φυλάσσονται, όπως και τα υλικά καθαριότητας, σε χώρο που έχει ορισθεί ειδικά για την αποθήκευσή τους.</w:t>
      </w:r>
    </w:p>
    <w:p>
      <w:pPr>
        <w:pStyle w:val="Normal"/>
        <w:numPr>
          <w:ilvl w:val="0"/>
          <w:numId w:val="20"/>
        </w:numPr>
        <w:shd w:val="clear" w:color="auto" w:fill="FFFFFF"/>
        <w:spacing w:before="0" w:after="0"/>
        <w:ind w:left="426" w:right="0" w:hanging="360"/>
        <w:jc w:val="both"/>
        <w:rPr>
          <w:rFonts w:cs="Tahoma"/>
          <w:sz w:val="24"/>
          <w:szCs w:val="24"/>
        </w:rPr>
      </w:pPr>
      <w:r>
        <w:rPr>
          <w:rFonts w:cs="Tahoma"/>
          <w:sz w:val="24"/>
          <w:szCs w:val="24"/>
        </w:rPr>
        <w:t>Τα απορρίμματα θα συλλέγονται καθημερινά και όποτε άλλοτε απαιτηθεί. Το προσωπικό καθαριότητας θα πρέπει να συλλέγει τα κοινά αστικού χαρακτήρα απορρίμματα σε σακούλες και θα τα μεταφέρει στους χώρους αποκομιδής έξω από τα κτήρια.</w:t>
      </w:r>
    </w:p>
    <w:p>
      <w:pPr>
        <w:pStyle w:val="Normal"/>
        <w:shd w:val="clear" w:color="auto" w:fill="FFFFFF"/>
        <w:suppressAutoHyphens w:val="false"/>
        <w:spacing w:lineRule="auto" w:line="276" w:before="0" w:after="0"/>
        <w:ind w:left="426" w:right="0" w:hanging="0"/>
        <w:rPr>
          <w:rFonts w:eastAsia="Arial Unicode MS" w:cs="Tahoma"/>
          <w:bCs/>
          <w:sz w:val="24"/>
          <w:lang w:val="el-GR"/>
        </w:rPr>
      </w:pPr>
      <w:r>
        <w:rPr>
          <w:rFonts w:eastAsia="Arial Unicode MS" w:cs="Tahoma"/>
          <w:bCs/>
          <w:sz w:val="24"/>
          <w:lang w:val="el-GR"/>
        </w:rPr>
      </w:r>
    </w:p>
    <w:p>
      <w:pPr>
        <w:pStyle w:val="Normal"/>
        <w:numPr>
          <w:ilvl w:val="0"/>
          <w:numId w:val="15"/>
        </w:numPr>
        <w:ind w:left="426" w:right="0" w:hanging="360"/>
        <w:rPr>
          <w:rFonts w:eastAsia="Arial Unicode MS" w:cs="Tahoma"/>
          <w:b/>
          <w:b/>
          <w:color w:val="17365D"/>
          <w:sz w:val="24"/>
          <w:szCs w:val="24"/>
        </w:rPr>
      </w:pPr>
      <w:r>
        <w:rPr>
          <w:rFonts w:eastAsia="Arial Unicode MS" w:cs="Tahoma"/>
          <w:b/>
          <w:color w:val="17365D"/>
          <w:sz w:val="24"/>
          <w:szCs w:val="24"/>
        </w:rPr>
        <w:t>ΕΙΔΙΚΟΙ ΟΡΟΙ ΕΚΤΕΛΕΣΗΣ ΤΗΣ ΣΥΜΒΑΣΗΣ</w:t>
      </w:r>
    </w:p>
    <w:p>
      <w:pPr>
        <w:pStyle w:val="Normal"/>
        <w:numPr>
          <w:ilvl w:val="0"/>
          <w:numId w:val="17"/>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Όλα τα απαραίτητα μηχανικά μέσα, όλα τα αναγκαία προϊόντα και υλικά καθαρισμού και απολύμανσης, καθώς και ο απαραίτητος εξοπλισμός καθαρισμού και απολύμανσης (ενδεικτικά αναφέρονται σακούλες, ξεσκονόπανα εργαλεία, συσκευές  κ.ά), βαρύνουν τον Ανάδοχο, εκτός των: α) χαρτί υγείας, β) σαπούνια, γ) χειροπετσέτες.</w:t>
      </w:r>
    </w:p>
    <w:p>
      <w:pPr>
        <w:pStyle w:val="Normal"/>
        <w:numPr>
          <w:ilvl w:val="0"/>
          <w:numId w:val="17"/>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Οι πάσης φύσεως αποδοχές, μισθοί, επιδόματα, Δώρα Χριστουγέννων &amp; Πάσχα, ασφαλιστικές εισφορές του απασχολούμενου προσωπικού και λοιπές εργοδοτικές εισφορές, βαρύνουν τον Ανάδοχο.</w:t>
      </w:r>
    </w:p>
    <w:p>
      <w:pPr>
        <w:pStyle w:val="Normal"/>
        <w:numPr>
          <w:ilvl w:val="0"/>
          <w:numId w:val="17"/>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Η Αναθέτουσα Αρχή απαλλάσσεται από κάθε ευθύνη και υποχρέωση για αποζημίωση από τυχόν ατύχημα ή κάθε άλλη αιτία, τόσο κατά τη μεταφορά του προσωπικού του Αναδόχου όσο και κατά τη διάρκεια της εκτέλεσης των υπηρεσιών καθαρισμού. Διευκρινίζεται ρητά ότι η Αναθέτουσα Αρχή δεν έχει καμία αστική ή ποινική ευθύνη για κάθε αξίωση εκ μέρους οιουδήποτε μισθωτού του Αναδόχου η δε υποχρέωσή της εξαντλείται πλήρως με την καταβολή της κατά μήνα αμοιβής του Αναδόχου.</w:t>
      </w:r>
    </w:p>
    <w:p>
      <w:pPr>
        <w:pStyle w:val="Normal"/>
        <w:numPr>
          <w:ilvl w:val="0"/>
          <w:numId w:val="17"/>
        </w:numPr>
        <w:shd w:val="clear" w:color="auto" w:fill="FFFFFF"/>
        <w:suppressAutoHyphens w:val="false"/>
        <w:spacing w:lineRule="auto" w:line="276" w:before="0" w:after="0"/>
        <w:ind w:left="426" w:right="0" w:hanging="360"/>
        <w:rPr>
          <w:rFonts w:eastAsia="Lucida Sans Unicode" w:cs="Tahoma"/>
          <w:sz w:val="24"/>
          <w:lang w:val="el-GR" w:eastAsia="el-GR" w:bidi="el-GR"/>
        </w:rPr>
      </w:pPr>
      <w:r>
        <w:rPr>
          <w:rFonts w:eastAsia="Lucida Sans Unicode" w:cs="Tahoma"/>
          <w:sz w:val="24"/>
          <w:lang w:val="el-GR" w:eastAsia="el-GR" w:bidi="el-GR"/>
        </w:rPr>
        <w:t xml:space="preserve">Σε περίπτωση κατάργησης ή συρρίκνωσης ή μετεγκατάστασης οργανικών μονάδων, λόγω συγχώνευσης ή λύσης της μίσθωσης ή ανάθεσης καθηκόντων σε μόνιμο ή έκτακτο υπαλληλικό προσωπικό καθαριότητας της Αναθέτουσας Αρχής κλάδου ΥΕ-προσωπικό καθαριότητας και σε κάθε εν γένει περίπτωση αλλαγής των χώρων ή µη χρήσης αυτών από την Αναθέτουσα Αρχή, η Αναθέτουσα Αρχή, έχει το δικαίωμα να χρησιμοποιήσει το προσωπικό του Αναδόχου σύμφωνα με τις ανάγκες που τυχόν θα προκύψουν στα νέα κτίρια ή στα ήδη υπάρχοντα, ή να διακόψει εν μέρει τις υπηρεσίες καθαριότητας, χωρίς οποιαδήποτε αξίωση αποζημίωσης από τον Ανάδοχο, ανεξαρτήτως του εναπομένοντος χρόνου αυτής. Στην περίπτωση διακοπής των υπηρεσιών, η Αναθέτουσα Αρχή θα καταβάλλει μηνιαία αμοιβή στον Ανάδοχο, μειωμένη κατά το ποσό που αντιστοιχεί στους χώρους στους οποίους θα διακοπεί ο καθαρισμός. </w:t>
      </w:r>
    </w:p>
    <w:p>
      <w:pPr>
        <w:pStyle w:val="Normal"/>
        <w:shd w:val="clear" w:color="auto" w:fill="FFFFFF"/>
        <w:suppressAutoHyphens w:val="false"/>
        <w:spacing w:lineRule="auto" w:line="276" w:before="0" w:after="0"/>
        <w:ind w:left="426" w:right="0" w:hanging="0"/>
        <w:rPr>
          <w:rFonts w:eastAsia="Lucida Sans Unicode" w:cs="Tahoma"/>
          <w:sz w:val="24"/>
          <w:lang w:val="el-GR" w:eastAsia="el-GR" w:bidi="el-GR"/>
        </w:rPr>
      </w:pPr>
      <w:r>
        <w:rPr>
          <w:rFonts w:eastAsia="Lucida Sans Unicode" w:cs="Tahoma"/>
          <w:sz w:val="24"/>
          <w:lang w:val="el-GR" w:eastAsia="el-GR" w:bidi="el-GR"/>
        </w:rPr>
        <w:t>Ωστόσο, το ποσό που θα εξοικονομηθεί δύναται να χρησιμοποιηθεί για τον καθαρισμό κτιρίων ή χώρων κτιρίων, που δεν είχαν αρχικά συμπεριληφθεί στους πίνακες ή σε κτίρια στα οποία στεγάζονται νεοσύστατες Υπηρεσίες. Στην περίπτωση αυτή, ο Ανάδοχος υποχρεούται να παρέχει στους νέους χώρους τις υπηρεσίες του, με τους ίδιους όρους της σύμβασης και η Αναθέτουσα Αρχή υποχρεούται στην πληρωμή του, σύμφωνα με την οικονομική προσφορά του.</w:t>
      </w:r>
    </w:p>
    <w:p>
      <w:pPr>
        <w:pStyle w:val="Normal"/>
        <w:shd w:val="clear" w:color="auto" w:fill="FFFFFF"/>
        <w:suppressAutoHyphens w:val="false"/>
        <w:spacing w:lineRule="auto" w:line="276" w:before="0" w:after="0"/>
        <w:ind w:left="426" w:right="0" w:hanging="0"/>
        <w:rPr>
          <w:rFonts w:eastAsia="Lucida Sans Unicode" w:cs="Tahoma"/>
          <w:sz w:val="24"/>
          <w:lang w:val="el-GR" w:eastAsia="el-GR" w:bidi="el-GR"/>
        </w:rPr>
      </w:pPr>
      <w:r>
        <w:rPr>
          <w:rFonts w:eastAsia="Lucida Sans Unicode" w:cs="Tahoma"/>
          <w:sz w:val="24"/>
          <w:lang w:val="el-GR" w:eastAsia="el-GR" w:bidi="el-GR"/>
        </w:rPr>
        <w:t>Σε περίπτωση που με την έναρξη παροχής των υπηρεσιών καθαριότητας, σε οποιοδήποτε Κτίριο, εξακολουθεί να είναι σε ισχύ σύμβαση με υπάλληλο κλάδου ΥΕ-προσωπικό καθαριότητας και για όσο χρονικό διάστημα διαρκεί αυτή, η Αναθέτουσα Αρχή δύναται, με βάση τις ανάγκες της, να μειώσει τις ώρες παροχής υπηρεσιών και να καταβάλλει το αντίστοιχο μειωμένο τίμημα στον Ανάδοχο.</w:t>
      </w:r>
    </w:p>
    <w:p>
      <w:pPr>
        <w:pStyle w:val="Normal"/>
        <w:numPr>
          <w:ilvl w:val="0"/>
          <w:numId w:val="21"/>
        </w:numPr>
        <w:shd w:val="clear" w:color="auto" w:fill="FFFFFF"/>
        <w:spacing w:before="0" w:after="0"/>
        <w:ind w:left="426" w:right="0" w:hanging="360"/>
        <w:jc w:val="both"/>
        <w:rPr>
          <w:rFonts w:cs="Tahoma"/>
          <w:sz w:val="24"/>
          <w:szCs w:val="24"/>
        </w:rPr>
      </w:pPr>
      <w:r>
        <w:rPr>
          <w:rFonts w:cs="Tahoma"/>
          <w:sz w:val="24"/>
          <w:szCs w:val="24"/>
        </w:rPr>
        <w:t>Αλλοδαποί μπορούν να απασχοληθούν μόνο εφόσον έχουν άδεια νόμιμης παραμονής και εργασίας στην Ελλάδα και ομιλούν (σύμφωνα με υπεύθυνη δήλωση της παρ. 4 του άρθρου 8 του ν.1599/1986 του υποψηφίου αναδόχου) καλά την ελληνική γλώσσα, έτσι ώστε να κατανοούν τις οδηγίες που τους δίνονται.</w:t>
      </w:r>
    </w:p>
    <w:p>
      <w:pPr>
        <w:pStyle w:val="Normal"/>
        <w:numPr>
          <w:ilvl w:val="0"/>
          <w:numId w:val="17"/>
        </w:numPr>
        <w:shd w:val="clear" w:color="auto" w:fill="FFFFFF"/>
        <w:suppressAutoHyphens w:val="false"/>
        <w:spacing w:lineRule="auto" w:line="276" w:before="0" w:after="0"/>
        <w:ind w:left="426" w:right="0" w:hanging="360"/>
        <w:rPr>
          <w:rFonts w:eastAsia="Arial Unicode MS" w:cs="Tahoma"/>
          <w:bCs/>
          <w:sz w:val="24"/>
          <w:lang w:val="el-GR"/>
        </w:rPr>
      </w:pPr>
      <w:r>
        <w:rPr>
          <w:rFonts w:eastAsia="Arial Unicode MS" w:cs="Tahoma"/>
          <w:bCs/>
          <w:sz w:val="24"/>
          <w:lang w:val="el-GR"/>
        </w:rPr>
        <w:t>Το προσωπικό του συνεργείου θα χτυπάει κάρτα κατά την προσέλευση και αποχώρηση και σε περίπτωση που οι Υπηρεσίες της Αναθέτουσας Αρχής δεν διαθέτουν ρολόι παρουσίας προσωπικού, το προσωπικό θα υπογράφει στο βιβλίο παρουσίας προσωπικού. Η άσκηση αυστηρού ελέγχου τήρησης του ωραρίου του προσωπικού του συνεργείου είναι δικαίωμα των αρμόδιων οργάνων της Αναθέτουσας Αρχής.</w:t>
      </w:r>
    </w:p>
    <w:p>
      <w:pPr>
        <w:pStyle w:val="Normal"/>
        <w:numPr>
          <w:ilvl w:val="0"/>
          <w:numId w:val="17"/>
        </w:numPr>
        <w:shd w:val="clear" w:color="auto" w:fill="FFFFFF"/>
        <w:suppressAutoHyphens w:val="false"/>
        <w:spacing w:lineRule="auto" w:line="276" w:before="0" w:after="0"/>
        <w:ind w:left="426" w:right="0" w:hanging="360"/>
        <w:rPr/>
      </w:pPr>
      <w:r>
        <w:rPr>
          <w:rFonts w:eastAsia="Arial Unicode MS" w:cs="Tahoma"/>
          <w:bCs/>
          <w:sz w:val="24"/>
          <w:lang w:val="el-GR"/>
        </w:rPr>
        <w:t xml:space="preserve">Ο καθαρισμός θα καλύπτει τις εργάσιμες ημέρες και ώρες εργασίας (Δευτέρα έως Παρασκευή, εκτός επίσημων αργιών και εορτών) όπως αυτές έχουν προσδιορισθεί από την Αναθέτουσα Αρχή. Το ωράριο παροχής υπηρεσιών καθαριότητας του Αναδόχου, το οποίο θα καλύπτει τις καθορισμένες ημέρες και ώρες εργασίας, </w:t>
      </w:r>
      <w:r>
        <w:rPr>
          <w:rFonts w:eastAsia="Arial Unicode MS" w:cs="Tahoma"/>
          <w:bCs/>
          <w:sz w:val="24"/>
          <w:u w:val="single"/>
          <w:lang w:val="el-GR"/>
        </w:rPr>
        <w:t>θα προσδιορίζεται κατόπιν συνεννόησης με τις  Υπηρεσίες της Αναθέτουσας Αρχής, σύμφωνα με τις ανάγκες του εκάστοτε κτιρίου, όπου παρέχονται οι υπηρεσίες καθαριότητας.</w:t>
      </w:r>
    </w:p>
    <w:p>
      <w:pPr>
        <w:pStyle w:val="Normal"/>
        <w:numPr>
          <w:ilvl w:val="0"/>
          <w:numId w:val="17"/>
        </w:numPr>
        <w:shd w:val="clear" w:color="auto" w:fill="FFFFFF"/>
        <w:suppressAutoHyphens w:val="false"/>
        <w:spacing w:lineRule="auto" w:line="276" w:before="0" w:after="0"/>
        <w:ind w:left="426" w:right="0" w:hanging="360"/>
        <w:rPr/>
      </w:pPr>
      <w:r>
        <w:rPr>
          <w:rFonts w:eastAsia="Arial Unicode MS" w:cs="Tahoma"/>
          <w:bCs/>
          <w:sz w:val="24"/>
          <w:lang w:val="el-GR"/>
        </w:rPr>
        <w:t xml:space="preserve">Ο Ανάδοχος θα κληθεί να παρέχει τις υπηρεσίες του για τα κτίρια της παρούσης και μόνο για τους χώρους στους οποίους στεγάζονται Υπηρεσίες του </w:t>
      </w:r>
      <w:r>
        <w:rPr>
          <w:rFonts w:eastAsia="Arial Unicode MS" w:cs="Tahoma"/>
          <w:bCs/>
          <w:sz w:val="24"/>
        </w:rPr>
        <w:t>e</w:t>
      </w:r>
      <w:r>
        <w:rPr>
          <w:rFonts w:eastAsia="Arial Unicode MS" w:cs="Tahoma"/>
          <w:bCs/>
          <w:sz w:val="24"/>
          <w:lang w:val="el-GR"/>
        </w:rPr>
        <w:t>-ΕΦΚΑ, χωρικής αρμοδιότητας της Π.Υ.Σ.Υ. Θεσσαλίας (συμπεριλαμβανομένων των κοινόχρηστων χώρων, κλιμακοστασίων κλπ.).</w:t>
      </w:r>
    </w:p>
    <w:p>
      <w:pPr>
        <w:pStyle w:val="Normal"/>
        <w:suppressAutoHyphens w:val="false"/>
        <w:spacing w:lineRule="auto" w:line="276" w:before="0" w:after="0"/>
        <w:rPr>
          <w:rFonts w:cs="Tahoma"/>
          <w:sz w:val="24"/>
          <w:lang w:val="el-GR" w:eastAsia="el-GR"/>
        </w:rPr>
      </w:pPr>
      <w:r>
        <w:rPr>
          <w:rFonts w:cs="Tahoma"/>
          <w:sz w:val="24"/>
          <w:lang w:val="el-GR" w:eastAsia="el-GR"/>
        </w:rPr>
        <w:t>Η παροχή υπηρεσιών θα πραγματοποιηθεί σύμφωνα με τους όρους που περιέχονται στα έγγραφα της σύμβασης, στην απόφαση κατακύρωσης και την προσφορά του Αναδόχου.</w:t>
      </w:r>
    </w:p>
    <w:p>
      <w:pPr>
        <w:pStyle w:val="Normal"/>
        <w:tabs>
          <w:tab w:val="clear" w:pos="720"/>
          <w:tab w:val="left" w:pos="9639" w:leader="none"/>
          <w:tab w:val="left" w:pos="9923" w:leader="none"/>
        </w:tabs>
        <w:spacing w:lineRule="auto" w:line="276" w:before="0" w:after="0"/>
        <w:ind w:left="0" w:right="-59" w:hanging="0"/>
        <w:contextualSpacing/>
        <w:rPr>
          <w:rFonts w:cs="Tahoma"/>
          <w:b/>
          <w:b/>
          <w:sz w:val="24"/>
          <w:lang w:val="el-GR"/>
        </w:rPr>
      </w:pPr>
      <w:r>
        <w:rPr>
          <w:rFonts w:cs="Tahoma"/>
          <w:b/>
          <w:sz w:val="24"/>
          <w:lang w:val="el-GR"/>
        </w:rPr>
      </w:r>
    </w:p>
    <w:p>
      <w:pPr>
        <w:pStyle w:val="2"/>
        <w:spacing w:lineRule="auto" w:line="276"/>
        <w:ind w:left="567" w:right="0" w:hanging="567"/>
        <w:rPr/>
      </w:pPr>
      <w:bookmarkStart w:id="244" w:name="__RefHeading___Toc35689_1890191151"/>
      <w:bookmarkStart w:id="245" w:name="_Toc138061919"/>
      <w:bookmarkStart w:id="246" w:name="_Toc75718029"/>
      <w:bookmarkStart w:id="247" w:name="_Toc75714996"/>
      <w:bookmarkStart w:id="248" w:name="_Toc138844702"/>
      <w:bookmarkEnd w:id="244"/>
      <w:r>
        <w:rPr>
          <w:rFonts w:ascii="Calibri" w:hAnsi="Calibri"/>
          <w:sz w:val="24"/>
          <w:szCs w:val="24"/>
          <w:lang w:val="el-GR"/>
        </w:rPr>
        <w:t xml:space="preserve">ΑΡΘΡΟ 2:    </w:t>
      </w:r>
      <w:r>
        <w:rPr>
          <w:rFonts w:ascii="Calibri" w:hAnsi="Calibri"/>
          <w:sz w:val="24"/>
          <w:szCs w:val="24"/>
          <w:lang w:val="el-GR" w:eastAsia="el-GR"/>
        </w:rPr>
        <w:t>ΧΡΗΜΑΤΟΔΟΤΗΣΗ ΣΥΜΒΑΣΗΣ –</w:t>
      </w:r>
      <w:r>
        <w:rPr>
          <w:rFonts w:ascii="Calibri" w:hAnsi="Calibri"/>
          <w:sz w:val="24"/>
          <w:szCs w:val="24"/>
          <w:lang w:val="el-GR"/>
        </w:rPr>
        <w:t xml:space="preserve"> ΣΥΜΒΑΤΙΚΟ ΤΙΜΗΜΑ</w:t>
      </w:r>
      <w:bookmarkEnd w:id="245"/>
      <w:bookmarkEnd w:id="246"/>
      <w:bookmarkEnd w:id="247"/>
      <w:bookmarkEnd w:id="248"/>
      <w:r>
        <w:rPr>
          <w:rFonts w:ascii="Calibri" w:hAnsi="Calibri"/>
          <w:sz w:val="24"/>
          <w:szCs w:val="24"/>
          <w:lang w:val="el-GR"/>
        </w:rPr>
        <w:t xml:space="preserve"> </w:t>
      </w:r>
    </w:p>
    <w:p>
      <w:pPr>
        <w:pStyle w:val="Normal"/>
        <w:suppressAutoHyphens w:val="false"/>
        <w:spacing w:lineRule="auto" w:line="276" w:before="0" w:after="0"/>
        <w:rPr>
          <w:rFonts w:cs="Tahoma"/>
          <w:b/>
          <w:b/>
          <w:sz w:val="24"/>
          <w:u w:val="single"/>
          <w:lang w:val="el-GR" w:eastAsia="el-GR"/>
        </w:rPr>
      </w:pPr>
      <w:r>
        <w:rPr>
          <w:rFonts w:cs="Tahoma"/>
          <w:b/>
          <w:sz w:val="24"/>
          <w:u w:val="single"/>
          <w:lang w:val="el-GR" w:eastAsia="el-GR"/>
        </w:rPr>
        <w:t xml:space="preserve">Χρηματοδότηση Σύμβασης </w:t>
      </w:r>
    </w:p>
    <w:p>
      <w:pPr>
        <w:pStyle w:val="Normal"/>
        <w:suppressAutoHyphens w:val="false"/>
        <w:spacing w:lineRule="auto" w:line="276" w:before="0" w:after="0"/>
        <w:rPr/>
      </w:pPr>
      <w:r>
        <w:rPr>
          <w:rFonts w:cs="Tahoma"/>
          <w:sz w:val="24"/>
          <w:lang w:val="el-GR" w:eastAsia="el-GR"/>
        </w:rPr>
        <w:t xml:space="preserve">Φορέας χρηματοδότησης της παρούσας σύμβασης είναι ο τακτικός προϋπολογισμός του </w:t>
      </w:r>
      <w:r>
        <w:rPr>
          <w:rFonts w:cs="Tahoma"/>
          <w:sz w:val="24"/>
          <w:lang w:val="en-US" w:eastAsia="el-GR"/>
        </w:rPr>
        <w:t>e</w:t>
      </w:r>
      <w:r>
        <w:rPr>
          <w:rFonts w:cs="Tahoma"/>
          <w:sz w:val="24"/>
          <w:lang w:val="el-GR" w:eastAsia="el-GR"/>
        </w:rPr>
        <w:t xml:space="preserve">-ΕΦΚΑ.  </w:t>
      </w:r>
    </w:p>
    <w:p>
      <w:pPr>
        <w:pStyle w:val="Normal"/>
        <w:suppressAutoHyphens w:val="false"/>
        <w:spacing w:lineRule="auto" w:line="276" w:before="0" w:after="0"/>
        <w:rPr/>
      </w:pPr>
      <w:r>
        <w:rPr>
          <w:rFonts w:cs="Tahoma"/>
          <w:sz w:val="24"/>
          <w:lang w:val="el-GR" w:eastAsia="el-GR"/>
        </w:rPr>
        <w:t xml:space="preserve">Η δαπάνη για την εν λόγω σύμβαση βαρύνει την, με </w:t>
      </w:r>
      <w:r>
        <w:rPr>
          <w:rFonts w:cs="Tahoma"/>
          <w:b/>
          <w:sz w:val="24"/>
          <w:lang w:val="el-GR" w:eastAsia="el-GR"/>
        </w:rPr>
        <w:t>Κ.Α.Ε.: 00.10.0845</w:t>
      </w:r>
      <w:r>
        <w:rPr>
          <w:rFonts w:cs="Tahoma"/>
          <w:sz w:val="24"/>
          <w:lang w:val="el-GR" w:eastAsia="el-GR"/>
        </w:rPr>
        <w:t xml:space="preserve"> </w:t>
      </w:r>
      <w:r>
        <w:rPr>
          <w:rFonts w:cs="Tahoma"/>
          <w:i/>
          <w:sz w:val="24"/>
          <w:u w:val="single"/>
          <w:lang w:val="el-GR" w:eastAsia="el-GR"/>
        </w:rPr>
        <w:t>«Δαπάνες Καθαρισμού Γραφείων»</w:t>
      </w:r>
      <w:r>
        <w:rPr>
          <w:rFonts w:cs="Tahoma"/>
          <w:sz w:val="24"/>
          <w:lang w:val="el-GR" w:eastAsia="el-GR"/>
        </w:rPr>
        <w:t xml:space="preserve">, σχετική πίστωση του τακτικού προϋπολογισμού των οικονομικών ετών …………… του </w:t>
      </w:r>
      <w:r>
        <w:rPr>
          <w:rFonts w:cs="Tahoma"/>
          <w:sz w:val="24"/>
          <w:lang w:val="en-US" w:eastAsia="el-GR"/>
        </w:rPr>
        <w:t>e</w:t>
      </w:r>
      <w:r>
        <w:rPr>
          <w:rFonts w:cs="Tahoma"/>
          <w:sz w:val="24"/>
          <w:lang w:val="el-GR" w:eastAsia="el-GR"/>
        </w:rPr>
        <w:t xml:space="preserve">-ΕΦΚΑ.     </w:t>
      </w:r>
    </w:p>
    <w:p>
      <w:pPr>
        <w:pStyle w:val="Normal"/>
        <w:suppressAutoHyphens w:val="false"/>
        <w:spacing w:lineRule="auto" w:line="276" w:before="0" w:after="0"/>
        <w:rPr/>
      </w:pPr>
      <w:r>
        <w:rPr>
          <w:rFonts w:cs="Tahoma"/>
          <w:sz w:val="24"/>
          <w:lang w:val="el-GR" w:eastAsia="el-GR"/>
        </w:rPr>
        <w:t xml:space="preserve">Για την παρούσα διαδικασία έχει εκδοθεί η απόφαση ΑΑΥ με αρ. πρωτ. </w:t>
      </w:r>
      <w:r>
        <w:rPr>
          <w:rFonts w:cs="Tahoma"/>
          <w:b/>
          <w:sz w:val="24"/>
          <w:lang w:val="el-GR"/>
        </w:rPr>
        <w:t xml:space="preserve">………………. </w:t>
      </w:r>
      <w:r>
        <w:rPr>
          <w:rFonts w:cs="Tahoma"/>
          <w:sz w:val="24"/>
          <w:lang w:val="el-GR"/>
        </w:rPr>
        <w:t xml:space="preserve">(ΑΔΑ: ………………… &amp; ΑΔΑΜ: </w:t>
      </w:r>
      <w:r>
        <w:rPr>
          <w:rFonts w:cs="Tahoma"/>
          <w:sz w:val="24"/>
          <w:lang w:val="el-GR" w:eastAsia="el-GR"/>
        </w:rPr>
        <w:t xml:space="preserve">……………………) για την ανάληψη υποχρέωσης/έγκριση δέσμευσης πίστωσης για το οικονομικό έτος 202..... και έλαβε α/α ……. καταχώρησης  στο μητρώο δεσμεύσεων/Βιβλίο εγκρίσεων &amp; Εντολών Πληρωμής του φορέα….. </w:t>
      </w:r>
    </w:p>
    <w:p>
      <w:pPr>
        <w:pStyle w:val="Normal"/>
        <w:suppressAutoHyphens w:val="false"/>
        <w:spacing w:lineRule="auto" w:line="276" w:before="0" w:after="0"/>
        <w:rPr>
          <w:rFonts w:cs="Tahoma"/>
          <w:b/>
          <w:b/>
          <w:sz w:val="24"/>
          <w:lang w:val="el-GR" w:eastAsia="el-GR"/>
        </w:rPr>
      </w:pPr>
      <w:r>
        <w:rPr>
          <w:rFonts w:cs="Tahoma"/>
          <w:b/>
          <w:sz w:val="24"/>
          <w:lang w:val="el-GR" w:eastAsia="el-GR"/>
        </w:rPr>
      </w:r>
    </w:p>
    <w:p>
      <w:pPr>
        <w:pStyle w:val="Normal"/>
        <w:tabs>
          <w:tab w:val="clear" w:pos="720"/>
          <w:tab w:val="left" w:pos="9639" w:leader="none"/>
          <w:tab w:val="left" w:pos="9923" w:leader="none"/>
        </w:tabs>
        <w:spacing w:lineRule="auto" w:line="276" w:before="0" w:after="0"/>
        <w:ind w:left="0" w:right="-59" w:hanging="0"/>
        <w:contextualSpacing/>
        <w:rPr>
          <w:rFonts w:cs="Tahoma"/>
          <w:b/>
          <w:b/>
          <w:sz w:val="24"/>
          <w:u w:val="single"/>
          <w:lang w:val="el-GR" w:eastAsia="el-GR"/>
        </w:rPr>
      </w:pPr>
      <w:r>
        <w:rPr>
          <w:rFonts w:cs="Tahoma"/>
          <w:b/>
          <w:sz w:val="24"/>
          <w:u w:val="single"/>
          <w:lang w:val="el-GR" w:eastAsia="el-GR"/>
        </w:rPr>
      </w:r>
    </w:p>
    <w:p>
      <w:pPr>
        <w:pStyle w:val="Normal"/>
        <w:tabs>
          <w:tab w:val="clear" w:pos="720"/>
          <w:tab w:val="left" w:pos="9639" w:leader="none"/>
          <w:tab w:val="left" w:pos="9923" w:leader="none"/>
        </w:tabs>
        <w:spacing w:lineRule="auto" w:line="276" w:before="0" w:after="0"/>
        <w:ind w:left="0" w:right="-59" w:hanging="0"/>
        <w:contextualSpacing/>
        <w:rPr>
          <w:rFonts w:cs="Tahoma"/>
          <w:b/>
          <w:b/>
          <w:sz w:val="24"/>
          <w:u w:val="single"/>
          <w:lang w:val="el-GR" w:eastAsia="el-GR"/>
        </w:rPr>
      </w:pPr>
      <w:r>
        <w:rPr>
          <w:rFonts w:cs="Tahoma"/>
          <w:b/>
          <w:sz w:val="24"/>
          <w:u w:val="single"/>
          <w:lang w:val="el-GR" w:eastAsia="el-GR"/>
        </w:rPr>
        <w:t>Συμβατικό τίμημα</w:t>
      </w:r>
    </w:p>
    <w:p>
      <w:pPr>
        <w:pStyle w:val="Normal"/>
        <w:tabs>
          <w:tab w:val="clear" w:pos="720"/>
          <w:tab w:val="left" w:pos="9639" w:leader="none"/>
          <w:tab w:val="left" w:pos="9923" w:leader="none"/>
        </w:tabs>
        <w:spacing w:lineRule="auto" w:line="276" w:before="0" w:after="0"/>
        <w:ind w:left="0" w:right="-59" w:hanging="0"/>
        <w:rPr/>
      </w:pPr>
      <w:r>
        <w:rPr>
          <w:rFonts w:cs="Tahoma"/>
          <w:sz w:val="24"/>
          <w:lang w:val="el-GR"/>
        </w:rPr>
        <w:t xml:space="preserve">Το συμβατικό τίμημα των παρεχόμενων υπηρεσιών ανέρχεται στο συνολικό ποσό των #.........€# μηνιαίως πλέον ΦΠΑ, ήτοι #...........€# συμπ/νου ΦΠΑ και στο ποσό </w:t>
      </w:r>
      <w:r>
        <w:rPr>
          <w:rFonts w:cs="Tahoma"/>
          <w:b/>
          <w:bCs/>
          <w:color w:val="000000"/>
          <w:sz w:val="24"/>
          <w:lang w:val="el-GR"/>
        </w:rPr>
        <w:t>#...........€#, πλέον ΦΠΑ, ήτοι #...........€# συμπ/νου ΦΠΑ</w:t>
      </w:r>
      <w:r>
        <w:rPr>
          <w:rFonts w:cs="Tahoma"/>
          <w:sz w:val="24"/>
          <w:lang w:val="el-GR"/>
        </w:rPr>
        <w:t>, για το χρονικό διάστημα των δέκα (10) μηνών.</w:t>
      </w:r>
    </w:p>
    <w:p>
      <w:pPr>
        <w:pStyle w:val="Normal"/>
        <w:tabs>
          <w:tab w:val="clear" w:pos="720"/>
          <w:tab w:val="left" w:pos="9639" w:leader="none"/>
          <w:tab w:val="left" w:pos="9923" w:leader="none"/>
        </w:tabs>
        <w:spacing w:lineRule="auto" w:line="276" w:before="0" w:after="0"/>
        <w:ind w:left="0" w:right="-59" w:hanging="0"/>
        <w:rPr>
          <w:rFonts w:cs="Tahoma"/>
          <w:sz w:val="24"/>
          <w:lang w:val="el-GR"/>
        </w:rPr>
      </w:pPr>
      <w:r>
        <w:rPr>
          <w:rFonts w:cs="Tahoma"/>
          <w:sz w:val="24"/>
          <w:lang w:val="el-GR"/>
        </w:rPr>
      </w:r>
    </w:p>
    <w:p>
      <w:pPr>
        <w:pStyle w:val="Normal"/>
        <w:shd w:val="clear" w:color="auto" w:fill="FFFFFF"/>
        <w:spacing w:lineRule="auto" w:line="276" w:before="0" w:after="0"/>
        <w:rPr>
          <w:rFonts w:eastAsia="Arial Unicode MS" w:cs="Tahoma"/>
          <w:sz w:val="24"/>
          <w:lang w:val="el-GR"/>
        </w:rPr>
      </w:pPr>
      <w:r>
        <w:rPr>
          <w:rFonts w:eastAsia="Arial Unicode MS" w:cs="Tahoma"/>
          <w:sz w:val="24"/>
          <w:lang w:val="el-GR"/>
        </w:rPr>
        <w:t xml:space="preserve">Στο ως άνω ποσό συμπεριλαμβάνονται τα απαιτούμενα υλικά καθαριότητας και απολύμανσης του παραπάνω καθαρισμού, καθώς και το εύλογο ποσοστό του διοικητικού κόστους της παροχής των υπηρεσιών, των αναλώσιμων, του εργολαβικού τους κέρδους και των νόμιμων υπέρ του Δημοσίου και τρίτων κρατήσεων, ως και κάθε άλλη επιβάρυνση.  Η ως άνω τιμή δεν υπόκεινται σε καμία αναπροσαρμογή ή αναθεώρηση για οποιονδήποτε λόγο ή αιτία, θα ισχύουν δε και θα δεσμεύουν τον προμηθευτή μέχρι πλήρους εκτέλεσης της σύμβασης. </w:t>
      </w:r>
    </w:p>
    <w:p>
      <w:pPr>
        <w:pStyle w:val="2"/>
        <w:spacing w:lineRule="auto" w:line="276"/>
        <w:ind w:left="567" w:right="0" w:hanging="567"/>
        <w:rPr/>
      </w:pPr>
      <w:bookmarkStart w:id="249" w:name="__RefHeading___Toc35691_1890191151"/>
      <w:bookmarkStart w:id="250" w:name="_Toc138061920"/>
      <w:bookmarkStart w:id="251" w:name="_Toc75718030"/>
      <w:bookmarkStart w:id="252" w:name="_Toc75714997"/>
      <w:bookmarkStart w:id="253" w:name="_Toc138844703"/>
      <w:bookmarkEnd w:id="249"/>
      <w:r>
        <w:rPr>
          <w:rFonts w:ascii="Calibri" w:hAnsi="Calibri"/>
          <w:sz w:val="24"/>
          <w:szCs w:val="24"/>
          <w:lang w:val="el-GR"/>
        </w:rPr>
        <w:t>ΑΡΘΡΟ 3: ΔΙΑΡΚΕΙΑ ΣΥΜΒΑΣΗΣ</w:t>
      </w:r>
      <w:bookmarkEnd w:id="250"/>
      <w:bookmarkEnd w:id="251"/>
      <w:bookmarkEnd w:id="252"/>
      <w:bookmarkEnd w:id="253"/>
      <w:r>
        <w:rPr>
          <w:rFonts w:ascii="Calibri" w:hAnsi="Calibri"/>
          <w:sz w:val="24"/>
          <w:szCs w:val="24"/>
          <w:lang w:val="el-GR"/>
        </w:rPr>
        <w:t xml:space="preserve"> </w:t>
      </w:r>
    </w:p>
    <w:p>
      <w:pPr>
        <w:pStyle w:val="Normal"/>
        <w:suppressAutoHyphens w:val="false"/>
        <w:spacing w:lineRule="auto" w:line="276" w:before="0" w:after="0"/>
        <w:rPr>
          <w:rFonts w:cs="Tahoma"/>
          <w:sz w:val="24"/>
          <w:lang w:val="el-GR" w:eastAsia="el-GR"/>
        </w:rPr>
      </w:pPr>
      <w:r>
        <w:rPr>
          <w:rFonts w:cs="Tahoma"/>
          <w:sz w:val="24"/>
          <w:lang w:val="el-GR" w:eastAsia="el-GR"/>
        </w:rPr>
        <w:t>Δυνάμει του άρθρου 1.3 της Διακήρυξης η διάρκεια της παρούσας σύμβασης ορίζεται από την υπογραφή της και μέχρι .............................</w:t>
      </w:r>
    </w:p>
    <w:p>
      <w:pPr>
        <w:pStyle w:val="2"/>
        <w:spacing w:lineRule="auto" w:line="276"/>
        <w:ind w:left="567" w:right="0" w:hanging="567"/>
        <w:rPr/>
      </w:pPr>
      <w:bookmarkStart w:id="254" w:name="__RefHeading___Toc35693_1890191151"/>
      <w:bookmarkStart w:id="255" w:name="_Toc75714998"/>
      <w:bookmarkStart w:id="256" w:name="_Toc138844704"/>
      <w:bookmarkStart w:id="257" w:name="_Toc138061921"/>
      <w:bookmarkStart w:id="258" w:name="_Toc75718031"/>
      <w:bookmarkEnd w:id="254"/>
      <w:r>
        <w:rPr>
          <w:rFonts w:ascii="Calibri" w:hAnsi="Calibri"/>
          <w:sz w:val="24"/>
          <w:szCs w:val="24"/>
          <w:lang w:val="el-GR"/>
        </w:rPr>
        <w:t>ΑΡΘΡΟ 4: ΥΠΟΧΡΕΩΣΕΙΣ ΑΝΑΔΟΧΟΥ</w:t>
      </w:r>
      <w:bookmarkEnd w:id="255"/>
      <w:bookmarkEnd w:id="256"/>
      <w:bookmarkEnd w:id="257"/>
      <w:bookmarkEnd w:id="258"/>
      <w:r>
        <w:rPr>
          <w:rFonts w:ascii="Calibri" w:hAnsi="Calibri"/>
          <w:sz w:val="24"/>
          <w:szCs w:val="24"/>
          <w:lang w:val="el-GR"/>
        </w:rPr>
        <w:t xml:space="preserve">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Ο Ανάδοχος εγγυάται και δεσμεύεται ανέκκλητα  στην Αναθέτουσα Αρχή: </w:t>
      </w:r>
    </w:p>
    <w:p>
      <w:pPr>
        <w:pStyle w:val="Normal"/>
        <w:suppressAutoHyphens w:val="false"/>
        <w:spacing w:lineRule="auto" w:line="276" w:before="0" w:after="0"/>
        <w:rPr>
          <w:rFonts w:cs="Tahoma"/>
          <w:sz w:val="24"/>
          <w:lang w:val="el-GR" w:eastAsia="el-GR"/>
        </w:rPr>
      </w:pPr>
      <w:r>
        <w:rPr>
          <w:rFonts w:cs="Tahoma"/>
          <w:sz w:val="24"/>
          <w:lang w:val="el-GR" w:eastAsia="el-GR"/>
        </w:rPr>
        <w:t>4.1. ότι,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uppressAutoHyphens w:val="false"/>
        <w:spacing w:lineRule="auto" w:line="276" w:before="0" w:after="0"/>
        <w:rPr/>
      </w:pPr>
      <w:r>
        <w:rPr>
          <w:rFonts w:cs="Tahoma"/>
          <w:sz w:val="24"/>
          <w:lang w:val="el-GR" w:eastAsia="el-GR"/>
        </w:rPr>
        <w:t xml:space="preserve">4.2.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 </w:t>
      </w:r>
      <w:r>
        <w:rPr>
          <w:rFonts w:cs="Tahoma"/>
          <w:b/>
          <w:sz w:val="24"/>
          <w:lang w:val="el-GR" w:eastAsia="el-GR"/>
        </w:rPr>
        <w:t>σύμφωνα με τη ρήτρα ακεραιότητας</w:t>
      </w:r>
      <w:r>
        <w:rPr>
          <w:rFonts w:cs="Tahoma"/>
          <w:sz w:val="24"/>
          <w:lang w:val="el-GR" w:eastAsia="el-GR"/>
        </w:rPr>
        <w:t xml:space="preserve"> που επισυνάπτεται στην παρούσα και αποτελεί αναπόσπαστο τμήμα της. </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uppressAutoHyphens w:val="false"/>
        <w:spacing w:lineRule="auto" w:line="276" w:before="0" w:after="0"/>
        <w:rPr/>
      </w:pPr>
      <w:r>
        <w:rPr>
          <w:rFonts w:cs="Tahoma"/>
          <w:sz w:val="24"/>
          <w:lang w:val="el-GR" w:eastAsia="el-GR"/>
        </w:rPr>
        <w:t xml:space="preserve">4.3. ότι, </w:t>
      </w:r>
      <w:r>
        <w:rPr>
          <w:rFonts w:cs="Tahoma"/>
          <w:sz w:val="24"/>
          <w:lang w:val="el-GR"/>
        </w:rPr>
        <w:t xml:space="preserve"> </w:t>
      </w:r>
      <w:r>
        <w:rPr>
          <w:rFonts w:cs="Tahoma"/>
          <w:sz w:val="24"/>
          <w:lang w:val="el-GR" w:eastAsia="el-GR"/>
        </w:rPr>
        <w:t>δεν δημιουργείται καμιά έννομη σχέση μεταξύ της Αναθέτουσας Αρχής και του προσωπικού του Αναδόχου ή των υπεργολάβων του που απασχολούνται στο Έργο ούτε και μεταξύ του Αναδόχου ή των υπεργολάβων του και του προσωπικού της Αναθέτουσας Αρχής.</w:t>
      </w:r>
    </w:p>
    <w:p>
      <w:pPr>
        <w:pStyle w:val="Normal"/>
        <w:suppressAutoHyphens w:val="false"/>
        <w:spacing w:lineRule="auto" w:line="276" w:before="0" w:after="0"/>
        <w:rPr>
          <w:rFonts w:cs="Tahoma"/>
          <w:sz w:val="24"/>
          <w:lang w:val="el-GR" w:eastAsia="el-GR"/>
        </w:rPr>
      </w:pPr>
      <w:r>
        <w:rPr>
          <w:rFonts w:cs="Tahoma"/>
          <w:sz w:val="24"/>
          <w:lang w:val="el-GR" w:eastAsia="el-GR"/>
        </w:rPr>
        <w:t>Ο Ανάδοχος υποχρεούται να ασφαλίσει και διατηρεί ασφαλισμένο το προσωπικό του στους αρμόδιους ασφαλιστικούς οργανισμούς και μεριμνά όπως οι υπεργολάβοι και λοιποί συνεργάτες του να πράξουν το ίδιο.</w:t>
      </w:r>
    </w:p>
    <w:p>
      <w:pPr>
        <w:pStyle w:val="Normal"/>
        <w:suppressAutoHyphens w:val="false"/>
        <w:spacing w:lineRule="auto" w:line="276" w:before="0" w:after="0"/>
        <w:rPr>
          <w:rFonts w:cs="Tahoma"/>
          <w:sz w:val="24"/>
          <w:lang w:val="el-GR" w:eastAsia="el-GR"/>
        </w:rPr>
      </w:pPr>
      <w:r>
        <w:rPr>
          <w:rFonts w:cs="Tahoma"/>
          <w:sz w:val="24"/>
          <w:lang w:val="el-GR" w:eastAsia="el-GR"/>
        </w:rPr>
        <w:t>Τα δύο μέρη λαμβάνουν κατά το μέρος που τους αναλογεί σύμφωνα με την κείμενη νομοθεσία, όλα τα ενδεδειγμένα μέτρα για την προστασία και ασφάλεια του προσωπικού του Αναδόχου  και των υπεργολάβων του.</w:t>
      </w:r>
    </w:p>
    <w:p>
      <w:pPr>
        <w:pStyle w:val="Normal"/>
        <w:shd w:val="clear" w:color="auto" w:fill="FFFFFF"/>
        <w:tabs>
          <w:tab w:val="clear" w:pos="720"/>
          <w:tab w:val="left" w:pos="567" w:leader="none"/>
        </w:tabs>
        <w:spacing w:lineRule="auto" w:line="276"/>
        <w:rPr/>
      </w:pPr>
      <w:r>
        <w:rPr>
          <w:rFonts w:eastAsia="Arial Unicode MS" w:cs="Tahoma"/>
          <w:sz w:val="24"/>
          <w:lang w:val="el-GR"/>
        </w:rPr>
        <w:t xml:space="preserve">Η εκτέλεση του έργου πιστοποιείται με σχετικό πρωτόκολλο που συντάσσεται κάθε μήνα και υπογράφεται από την κατά τόπο επιτροπή παραλαβής – παρακολούθησης  των Υπηρεσιών του </w:t>
      </w:r>
      <w:r>
        <w:rPr>
          <w:rFonts w:eastAsia="Arial Unicode MS" w:cs="Tahoma"/>
          <w:sz w:val="24"/>
          <w:lang w:val="en-US"/>
        </w:rPr>
        <w:t>e</w:t>
      </w:r>
      <w:r>
        <w:rPr>
          <w:rFonts w:eastAsia="Arial Unicode MS" w:cs="Tahoma"/>
          <w:sz w:val="24"/>
          <w:lang w:val="el-GR"/>
        </w:rPr>
        <w:t>-ΕΦΚΑ, αρμοδιότητας της Π.Υ.Σ.Υ. Θεσσαλίας, όπου παρέχονται οι υπηρεσίες καθαριότητας.</w:t>
      </w:r>
    </w:p>
    <w:p>
      <w:pPr>
        <w:pStyle w:val="Normal"/>
        <w:shd w:val="clear" w:color="auto" w:fill="FFFFFF"/>
        <w:tabs>
          <w:tab w:val="clear" w:pos="720"/>
          <w:tab w:val="left" w:pos="567" w:leader="none"/>
        </w:tabs>
        <w:spacing w:lineRule="auto" w:line="276"/>
        <w:rPr>
          <w:rFonts w:eastAsia="Arial Unicode MS" w:cs="Tahoma"/>
          <w:sz w:val="24"/>
          <w:u w:val="single"/>
          <w:lang w:val="el-GR"/>
        </w:rPr>
      </w:pPr>
      <w:r>
        <w:rPr>
          <w:rFonts w:eastAsia="Arial Unicode MS" w:cs="Tahoma"/>
          <w:sz w:val="24"/>
          <w:u w:val="single"/>
          <w:lang w:val="el-GR"/>
        </w:rPr>
        <w:t>4.4. Ο Ανάδοχος υποχρεούται:</w:t>
      </w:r>
    </w:p>
    <w:p>
      <w:pPr>
        <w:pStyle w:val="Normal"/>
        <w:numPr>
          <w:ilvl w:val="0"/>
          <w:numId w:val="22"/>
        </w:numPr>
        <w:shd w:val="clear" w:color="auto" w:fill="FFFFFF"/>
        <w:tabs>
          <w:tab w:val="clear" w:pos="720"/>
          <w:tab w:val="left" w:pos="567" w:leader="none"/>
        </w:tabs>
        <w:spacing w:before="0" w:after="200"/>
        <w:ind w:left="426" w:right="0" w:hanging="426"/>
        <w:contextualSpacing/>
        <w:jc w:val="both"/>
        <w:rPr>
          <w:rFonts w:eastAsia="Arial Unicode MS" w:cs="Tahoma"/>
          <w:sz w:val="24"/>
          <w:szCs w:val="24"/>
        </w:rPr>
      </w:pPr>
      <w:r>
        <w:rPr>
          <w:rFonts w:eastAsia="Arial Unicode MS" w:cs="Tahoma"/>
          <w:sz w:val="24"/>
          <w:szCs w:val="24"/>
        </w:rPr>
        <w:t>Ο Ανάδοχος, σε περίπτωση βλάβης των μηχανημάτων, είναι υποχρεωμένος να τα αντικαταστήσει αμέσως, ώστε η εκτέλεση του αναληφθέντος έργου να είναι απρόσκοπτη.</w:t>
      </w:r>
    </w:p>
    <w:p>
      <w:pPr>
        <w:pStyle w:val="Normal"/>
        <w:numPr>
          <w:ilvl w:val="0"/>
          <w:numId w:val="22"/>
        </w:numPr>
        <w:shd w:val="clear" w:color="auto" w:fill="FFFFFF"/>
        <w:tabs>
          <w:tab w:val="clear" w:pos="720"/>
          <w:tab w:val="left" w:pos="567" w:leader="none"/>
        </w:tabs>
        <w:spacing w:before="0" w:after="200"/>
        <w:ind w:left="426" w:right="0" w:hanging="426"/>
        <w:contextualSpacing/>
        <w:jc w:val="both"/>
        <w:rPr>
          <w:rFonts w:eastAsia="Arial Unicode MS" w:cs="Tahoma"/>
          <w:sz w:val="24"/>
          <w:szCs w:val="24"/>
        </w:rPr>
      </w:pPr>
      <w:r>
        <w:rPr>
          <w:rFonts w:eastAsia="Arial Unicode MS" w:cs="Tahoma"/>
          <w:sz w:val="24"/>
          <w:szCs w:val="24"/>
        </w:rPr>
        <w:t>Ο Ανάδοχος υποχρεούται να εκπληρώνει όλες τις υποχρεώσεις του απέναντι στο Δημόσιο. Η τήρηση των υποχρεώσεων του Αναδόχου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pPr>
        <w:pStyle w:val="Normal"/>
        <w:numPr>
          <w:ilvl w:val="0"/>
          <w:numId w:val="22"/>
        </w:numPr>
        <w:shd w:val="clear" w:color="auto" w:fill="FFFFFF"/>
        <w:tabs>
          <w:tab w:val="clear" w:pos="720"/>
          <w:tab w:val="left" w:pos="567" w:leader="none"/>
        </w:tabs>
        <w:spacing w:before="0" w:after="200"/>
        <w:ind w:left="426" w:right="0" w:hanging="426"/>
        <w:contextualSpacing/>
        <w:jc w:val="both"/>
        <w:rPr>
          <w:rFonts w:eastAsia="Arial Unicode MS" w:cs="Tahoma"/>
          <w:sz w:val="24"/>
          <w:szCs w:val="24"/>
        </w:rPr>
      </w:pPr>
      <w:r>
        <w:rPr>
          <w:rFonts w:eastAsia="Arial Unicode MS" w:cs="Tahoma"/>
          <w:sz w:val="24"/>
          <w:szCs w:val="24"/>
        </w:rPr>
        <w:t xml:space="preserve">Να τηρεί όλους τους Ελληνικούς Νόμους τους σχετικούς με την εργασία (εργατική Νομοθεσία) και τις διατάξεις για αμοιβές, ωράριο εργασίας, κοινωνικών παροχών, αποζημιώσεων, φόρων κ.λ.π., ευθύνεται δε έναντι των ελληνικών αρχών για την τήρηση κάθε υποχρέωσης που προκύπτει από αυτές. </w:t>
      </w:r>
    </w:p>
    <w:p>
      <w:pPr>
        <w:pStyle w:val="Normal"/>
        <w:numPr>
          <w:ilvl w:val="0"/>
          <w:numId w:val="22"/>
        </w:numPr>
        <w:shd w:val="clear" w:color="auto" w:fill="FFFFFF"/>
        <w:tabs>
          <w:tab w:val="clear" w:pos="720"/>
          <w:tab w:val="left" w:pos="567" w:leader="none"/>
        </w:tabs>
        <w:spacing w:before="0" w:after="200"/>
        <w:ind w:left="426" w:right="0" w:hanging="426"/>
        <w:contextualSpacing/>
        <w:jc w:val="both"/>
        <w:rPr>
          <w:rFonts w:eastAsia="Arial Unicode MS" w:cs="Tahoma"/>
          <w:sz w:val="24"/>
          <w:szCs w:val="24"/>
        </w:rPr>
      </w:pPr>
      <w:r>
        <w:rPr>
          <w:rFonts w:eastAsia="Arial Unicode MS" w:cs="Tahoma"/>
          <w:sz w:val="24"/>
          <w:szCs w:val="24"/>
        </w:rPr>
        <w:t>Ο Ανάδοχος υποχρεούται να χρησιμοποιεί προσωπικό ειδικευμένο, υγιές, άριστο στο είδος του, άψογης συμπεριφοράς απέναντι σε τρίτους &amp; στο προσωπικό των Υπηρεσιών της Αναθέτουσας Αρχής και το οποίο να τηρεί πιστά τις εντολές των αρμοδίων οργάνων &amp; τον κανονισμό λειτουργίας της Αναθέτουσας Αρχής. Εγγυάται ότι δεν θα απασχολήσει ή θα εκμεταλλευθεί ανήλικους κάτω των 15 ετών (άρθρα 138 και 182 της Διεθνούς Σύμβασης Εργασίας).</w:t>
      </w:r>
    </w:p>
    <w:p>
      <w:pPr>
        <w:pStyle w:val="Normal"/>
        <w:numPr>
          <w:ilvl w:val="0"/>
          <w:numId w:val="22"/>
        </w:numPr>
        <w:shd w:val="clear" w:color="auto" w:fill="FFFFFF"/>
        <w:tabs>
          <w:tab w:val="clear" w:pos="720"/>
          <w:tab w:val="left" w:pos="567" w:leader="none"/>
        </w:tabs>
        <w:spacing w:before="0" w:after="200"/>
        <w:ind w:left="426" w:right="0" w:hanging="426"/>
        <w:contextualSpacing/>
        <w:jc w:val="both"/>
        <w:rPr/>
      </w:pPr>
      <w:r>
        <w:rPr>
          <w:rFonts w:eastAsia="Arial Unicode MS" w:cs="Tahoma"/>
          <w:b/>
          <w:sz w:val="24"/>
          <w:szCs w:val="24"/>
        </w:rPr>
        <w:t xml:space="preserve">Να ενημερώνει τις Υπηρεσίες της Αναθέτουσας Αρχής για το προσωπικό που θα απασχολείται με την υποβολή κατάστασης προσωπικού με τα πλήρη στοιχεία ταυτότητας ή της άδειας εργασίας (και φωτοαντίγραφα αυτών). </w:t>
      </w:r>
      <w:r>
        <w:rPr>
          <w:rFonts w:eastAsia="Arial Unicode MS" w:cs="Tahoma"/>
          <w:b/>
          <w:sz w:val="24"/>
          <w:szCs w:val="24"/>
          <w:u w:val="single"/>
        </w:rPr>
        <w:t>Επίσης, σε περίπτωση τυχόν αλλαγών προσωπικού, πριν την χρησιμοποίησή του πρέπει να γίνεται ενημέρωση στις Υπηρεσίες της Αναθέτουσας Αρχής, όπου παρέχονται οι υπηρεσίες καθαριότητες.</w:t>
      </w:r>
    </w:p>
    <w:p>
      <w:pPr>
        <w:pStyle w:val="Normal"/>
        <w:numPr>
          <w:ilvl w:val="0"/>
          <w:numId w:val="22"/>
        </w:numPr>
        <w:shd w:val="clear" w:color="auto" w:fill="FFFFFF"/>
        <w:tabs>
          <w:tab w:val="clear" w:pos="720"/>
          <w:tab w:val="left" w:pos="567" w:leader="none"/>
        </w:tabs>
        <w:spacing w:before="0" w:after="200"/>
        <w:ind w:left="426" w:right="0" w:hanging="426"/>
        <w:contextualSpacing/>
        <w:jc w:val="both"/>
        <w:rPr>
          <w:rFonts w:cs="Tahoma"/>
          <w:sz w:val="24"/>
          <w:szCs w:val="24"/>
        </w:rPr>
      </w:pPr>
      <w:r>
        <w:rPr>
          <w:rFonts w:cs="Tahoma"/>
          <w:sz w:val="24"/>
          <w:szCs w:val="24"/>
        </w:rPr>
        <w:t>Για την εκτέλεση του καθαρισμού, ο Ανάδοχος θα χρησιμοποιεί το μόνιμο ή έκτακτο προσωπικό που διαθέτει σε αριθμό και σε συχνότητα, που θα εξασφαλίζουν άψογα αποτελέσματα και αμεσότητα κάλυψης έκτακτων αναγκών.</w:t>
      </w:r>
    </w:p>
    <w:p>
      <w:pPr>
        <w:pStyle w:val="Normal"/>
        <w:numPr>
          <w:ilvl w:val="0"/>
          <w:numId w:val="22"/>
        </w:numPr>
        <w:shd w:val="clear" w:color="auto" w:fill="FFFFFF"/>
        <w:tabs>
          <w:tab w:val="clear" w:pos="720"/>
          <w:tab w:val="left" w:pos="567" w:leader="none"/>
        </w:tabs>
        <w:spacing w:before="0" w:after="200"/>
        <w:ind w:left="426" w:right="0" w:hanging="426"/>
        <w:contextualSpacing/>
        <w:jc w:val="both"/>
        <w:rPr>
          <w:rFonts w:eastAsia="Arial Unicode MS" w:cs="Tahoma"/>
          <w:sz w:val="24"/>
          <w:szCs w:val="24"/>
        </w:rPr>
      </w:pPr>
      <w:r>
        <w:rPr>
          <w:rFonts w:eastAsia="Arial Unicode MS" w:cs="Tahoma"/>
          <w:sz w:val="24"/>
          <w:szCs w:val="24"/>
        </w:rPr>
        <w:t>Ο Ανάδοχος αναλαμβάνει την υποχρέωση να μεριμνήσει ώστε να αποφύγει περίπτωση κενών στο προσωπικό του, τα οποία θα πρέπει να αναπληρώνει αμελλητί.</w:t>
      </w:r>
    </w:p>
    <w:p>
      <w:pPr>
        <w:pStyle w:val="Normal"/>
        <w:numPr>
          <w:ilvl w:val="0"/>
          <w:numId w:val="22"/>
        </w:numPr>
        <w:shd w:val="clear" w:color="auto" w:fill="FFFFFF"/>
        <w:tabs>
          <w:tab w:val="clear" w:pos="720"/>
          <w:tab w:val="left" w:pos="567" w:leader="none"/>
        </w:tabs>
        <w:spacing w:before="0" w:after="200"/>
        <w:ind w:left="426" w:right="0" w:hanging="426"/>
        <w:contextualSpacing/>
        <w:jc w:val="both"/>
        <w:rPr>
          <w:rFonts w:eastAsia="Arial Unicode MS" w:cs="Tahoma"/>
          <w:sz w:val="24"/>
          <w:szCs w:val="24"/>
        </w:rPr>
      </w:pPr>
      <w:r>
        <w:rPr>
          <w:rFonts w:eastAsia="Arial Unicode MS" w:cs="Tahoma"/>
          <w:sz w:val="24"/>
          <w:szCs w:val="24"/>
        </w:rPr>
        <w:t>Ο Ανάδοχος υποχρεούται να καταθέτει κάθε μήνα και συγκεκριμένα το χρονικό διάστημα μεταξύ 25ης - 30ης ημέρας στην Υπηρεσία της Αναθέτουσας Αρχής που τηρείται η σύμβαση, κατάσταση προσωπικού που θα εργασθεί τον επόμενο μήνα.</w:t>
      </w:r>
    </w:p>
    <w:p>
      <w:pPr>
        <w:pStyle w:val="Normal"/>
        <w:numPr>
          <w:ilvl w:val="0"/>
          <w:numId w:val="22"/>
        </w:numPr>
        <w:shd w:val="clear" w:color="auto" w:fill="FFFFFF"/>
        <w:tabs>
          <w:tab w:val="clear" w:pos="720"/>
          <w:tab w:val="left" w:pos="567" w:leader="none"/>
        </w:tabs>
        <w:spacing w:before="0" w:after="200"/>
        <w:ind w:left="426" w:right="0" w:hanging="426"/>
        <w:contextualSpacing/>
        <w:jc w:val="both"/>
        <w:rPr/>
      </w:pPr>
      <w:r>
        <w:rPr>
          <w:rFonts w:cs="Tahoma"/>
          <w:sz w:val="24"/>
          <w:szCs w:val="24"/>
        </w:rPr>
        <w:t xml:space="preserve">Ο Ανάδοχος υποχρεούται να γνωστοποιεί εγγράφως &amp; εγκαίρως σε κάθε μέλος του απασχολούμενου προσωπικού του ότι: </w:t>
      </w:r>
      <w:r>
        <w:rPr>
          <w:rFonts w:cs="Tahoma"/>
          <w:sz w:val="24"/>
          <w:szCs w:val="24"/>
          <w:u w:val="single"/>
        </w:rPr>
        <w:t>α) ουδεμία εξάρτηση &amp; εργασιακή ή άλλη νόμιμη σχέση έχει με την Αναθέτουσα Αρχή, β) έναντι αυτού του προσωπικού θα υπέχει αυτός, όλες τις εκ του νόμου και της σύμβασης ποινικές ευθύνες και υποχρεώσεις.</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rFonts w:cs="Tahoma"/>
          <w:sz w:val="24"/>
          <w:szCs w:val="24"/>
        </w:rPr>
      </w:pPr>
      <w:r>
        <w:rPr>
          <w:rFonts w:cs="Tahoma"/>
          <w:sz w:val="24"/>
          <w:szCs w:val="24"/>
        </w:rPr>
        <w:t>Ο Ανάδοχος υποχρεούται να αντικαθιστά αμέσως και χωρίς αντιρρήσεις κάθε μέλος του προσωπικού του, το οποίο θα κριθεί από την Υπηρεσία «ως ακατάλληλο» (για ανάρμοστη συμπεριφορά ή για οποιονδήποτε άλλο λόγο) μόλις ειδοποιηθεί σχετικά, έστω και προφορικά από την Αναθέτουσα Αρχή.</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rFonts w:cs="Tahoma"/>
          <w:sz w:val="24"/>
          <w:szCs w:val="24"/>
        </w:rPr>
      </w:pPr>
      <w:r>
        <w:rPr>
          <w:rFonts w:cs="Tahoma"/>
          <w:sz w:val="24"/>
          <w:szCs w:val="24"/>
        </w:rPr>
        <w:t>Ο Ανάδοχος υποχρεούται να μην απασχολεί το προσωπικό του πέραν του νόμιμου ωραρίου παρά μόνον σε εξαιρετικές περιπτώσεις, οπότε βέβαια οφείλει να καταβάλλει (στο υπερωριακά απασχολούμενο προσωπικό) ακέραιες τις κατά νόμου αποζημιώσεις.</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rFonts w:cs="Tahoma"/>
          <w:sz w:val="24"/>
          <w:szCs w:val="24"/>
        </w:rPr>
      </w:pPr>
      <w:r>
        <w:rPr>
          <w:rFonts w:cs="Tahoma"/>
          <w:sz w:val="24"/>
          <w:szCs w:val="24"/>
        </w:rPr>
        <w:t>Ο Ανάδοχος υποχρεούται να χρησιμοποιεί αποκλειστικά προσωπικό, το οποίο να είναι ασφαλισμένο έναντι ατυχήματος.</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rFonts w:cs="Tahoma"/>
          <w:sz w:val="24"/>
          <w:szCs w:val="24"/>
        </w:rPr>
      </w:pPr>
      <w:r>
        <w:rPr>
          <w:rFonts w:cs="Tahoma"/>
          <w:sz w:val="24"/>
          <w:szCs w:val="24"/>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ενδεχόμενο ατύχημα που συμβεί στο προσωπικό του, κατά τη διάρκεια εκτέλεσης της σύμβασης.</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rFonts w:cs="Tahoma"/>
          <w:sz w:val="24"/>
          <w:szCs w:val="24"/>
        </w:rPr>
      </w:pPr>
      <w:r>
        <w:rPr>
          <w:rFonts w:cs="Tahoma"/>
          <w:sz w:val="24"/>
          <w:szCs w:val="24"/>
        </w:rPr>
        <w:t>Ο Ανάδοχος υποχρεούται και εγγυάται ότι η εργασία θα εκτελείται με προσοχή, επιμέλεια και σύμφωνα με όλους τους κανόνες της ορθής καθαριότητας, όπως αυτοί ορίζονται από τις τεχνικές προδιαγραφές καθαριότητας. Είναι υπεύθυνος έναντι των Κρατικών Αρχών για την εξασφάλιση της καθαριότητας στους χώρους που περιλαμβάνονται  στην παρούσα για όλο το χρόνο και για όλο το χρόνο εργασίας του, και για όλες τις ημέρες της εβδομάδας, φέρει δε κάθε αστική και ποινική ευθύνη σε περίπτωση ατυχήματος λόγω πλημμελούς καθαριότητας των χώρων.</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rFonts w:cs="Tahoma"/>
          <w:sz w:val="24"/>
          <w:szCs w:val="24"/>
        </w:rPr>
      </w:pPr>
      <w:r>
        <w:rPr>
          <w:rFonts w:cs="Tahoma"/>
          <w:sz w:val="24"/>
          <w:szCs w:val="24"/>
        </w:rPr>
        <w:t>Ο Ανάδοχος υποχρεούται να τηρεί όλους τους κανόνες πυρασφάλειας και ασφάλειας στους χώρους εκτέλεσης της σύμβασης, καθώς και στο χώρο που θα του υποδειχθεί από την Αναθέτουσα Αρχή για την φύλαξη των πραγμάτων και υλικών του.</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rFonts w:cs="Tahoma"/>
          <w:sz w:val="24"/>
          <w:szCs w:val="24"/>
        </w:rPr>
      </w:pPr>
      <w:r>
        <w:rPr>
          <w:rFonts w:cs="Tahoma"/>
          <w:sz w:val="24"/>
          <w:szCs w:val="24"/>
        </w:rPr>
        <w:t>Ο Ανάδοχος υποχρεούται να αντικαθιστά αμέσως κάθε έλλειψη, παράλειψη ή πλημμελή εκτέλεση των συμβατικών υποχρεώσεων που θα παρατηρείται και γνωστοποιείται σ’ αυτόν από τα αρμόδια όργανα παρακολούθησης της ορθής εκτέλεσης των υποχρεώσεων του Αναδόχου.</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pPr>
      <w:r>
        <w:rPr>
          <w:rFonts w:cs="Tahoma"/>
          <w:sz w:val="24"/>
          <w:szCs w:val="24"/>
        </w:rPr>
        <w:t xml:space="preserve">Ο Ανάδοχος υποχρεούται να διαθέτει επόπτη υπάλληλο για την επίβλεψη της εκτέλεσης της σύμβασης και επικοινωνία με τα όργανα που έχουν ορισθεί ειδικά για να επιβλέπουν την εκτέλεση της σύμβασης και είναι υπεύθυνα για την παρακολούθηση της ορθής εκτέλεσης των υποχρεώσεων του Αναδόχου. </w:t>
      </w:r>
      <w:r>
        <w:rPr>
          <w:rFonts w:eastAsia="Arial Unicode MS" w:cs="Tahoma"/>
          <w:sz w:val="24"/>
          <w:szCs w:val="24"/>
        </w:rPr>
        <w:t>Ο επόπτης</w:t>
      </w:r>
      <w:r>
        <w:rPr>
          <w:rFonts w:eastAsia="Arial Unicode MS" w:cs="Tahoma"/>
          <w:b/>
          <w:sz w:val="24"/>
          <w:szCs w:val="24"/>
        </w:rPr>
        <w:t xml:space="preserve"> </w:t>
      </w:r>
      <w:r>
        <w:rPr>
          <w:rFonts w:eastAsia="Arial Unicode MS" w:cs="Tahoma"/>
          <w:sz w:val="24"/>
          <w:szCs w:val="24"/>
        </w:rPr>
        <w:t xml:space="preserve">θα είναι ανά πάσα στιγμή στην διάθεση των κατά τόπους Υπηρεσιών του </w:t>
      </w:r>
      <w:r>
        <w:rPr>
          <w:rFonts w:eastAsia="Arial Unicode MS" w:cs="Tahoma"/>
          <w:sz w:val="24"/>
          <w:szCs w:val="24"/>
          <w:lang w:val="en-US"/>
        </w:rPr>
        <w:t>e</w:t>
      </w:r>
      <w:r>
        <w:rPr>
          <w:rFonts w:eastAsia="Arial Unicode MS" w:cs="Tahoma"/>
          <w:sz w:val="24"/>
          <w:szCs w:val="24"/>
        </w:rPr>
        <w:t>-ΕΦΚΑ, όπου παρέχονται οι υπηρεσίες καθαριότητας ή του αρμοδίου υπαλλήλου του, προκειμένου να συζητά μαζί του για κάθε ζήτημα σχετικό με την εκτέλεση του παρόντος και την επίλυση κάθε προβλήματος που ανακύπτει.</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rFonts w:cs="Tahoma"/>
          <w:sz w:val="24"/>
          <w:szCs w:val="24"/>
        </w:rPr>
      </w:pPr>
      <w:r>
        <w:rPr>
          <w:rFonts w:cs="Tahoma"/>
          <w:sz w:val="24"/>
          <w:szCs w:val="24"/>
        </w:rPr>
        <w:t>Ο Ανάδοχος υποχρεούται να εφαρμόζει κατά την εκτέλεση της σύμβασης τις διατάξεις της νομοθεσίας περί υγείας και ασφάλειας των εργαζομένων και πρόληψης του επαγγελματικού κινδύνου.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pPr>
      <w:r>
        <w:rPr>
          <w:rFonts w:eastAsia="Arial Unicode MS" w:cs="Tahoma"/>
          <w:bCs/>
          <w:iCs/>
          <w:sz w:val="24"/>
          <w:szCs w:val="24"/>
        </w:rPr>
        <w:t>Η Αναθέτουσα Αρχή θα έχει δικαίωμα να καταγγείλει μονομερώς την ισχύ του παρόντος συμφωνητικού εάν διαπιστωθεί κατ’ επανάληψη, ελλιπής και μη σωστός καθαρισμός των Γραφείων των κατά τόπους Υπηρεσιών καθώς και των πάσης φύσεως βοηθητικών χώρων αυτών μετά από έγγραφη διαπίστωση αυτής. Συγκεκριμένα, ό</w:t>
      </w:r>
      <w:r>
        <w:rPr>
          <w:rFonts w:eastAsia="Arial Unicode MS" w:cs="Tahoma"/>
          <w:iCs/>
          <w:sz w:val="24"/>
          <w:szCs w:val="24"/>
        </w:rPr>
        <w:t xml:space="preserve">ταν οι υπηρεσίες ή οι επιτροπές καλής εκτέλεσης του έργου του αποδέκτη των υπηρεσιών, </w:t>
      </w:r>
      <w:r>
        <w:rPr>
          <w:rFonts w:eastAsia="Arial Unicode MS" w:cs="Tahoma"/>
          <w:iCs/>
          <w:sz w:val="24"/>
          <w:szCs w:val="24"/>
          <w:u w:val="single"/>
        </w:rPr>
        <w:t>διαπιστώνουν παραβάσεις των όρων του άρθρου 68 του Ν. 3863/2010</w:t>
      </w:r>
      <w:r>
        <w:rPr>
          <w:rFonts w:eastAsia="Arial Unicode MS" w:cs="Tahoma"/>
          <w:iCs/>
          <w:sz w:val="24"/>
          <w:szCs w:val="24"/>
        </w:rPr>
        <w:t xml:space="preserve">, κατά τη διάρκεια υλοποίησης του έργου, </w:t>
      </w:r>
      <w:r>
        <w:rPr>
          <w:rFonts w:eastAsia="Arial Unicode MS" w:cs="Tahoma"/>
          <w:b/>
          <w:iCs/>
          <w:sz w:val="24"/>
          <w:szCs w:val="24"/>
        </w:rPr>
        <w:t>η σύμβαση καταγγέλλεται</w:t>
      </w:r>
      <w:r>
        <w:rPr>
          <w:rFonts w:eastAsia="Arial Unicode MS" w:cs="Tahoma"/>
          <w:iCs/>
          <w:sz w:val="24"/>
          <w:szCs w:val="24"/>
        </w:rPr>
        <w:t xml:space="preserve">. Όταν οι παραβιάσεις διαπιστώνονται κατά τη παραλαβή του έργου, τα δικαιώματα που απορρέουν από τη σύμβαση δεν ικανοποιούνται, καταβάλλονται όμως από τον αποδέκτη των υπηρεσιών οι αποδοχές στους εργαζόμενους και αποδίδονται οι ασφαλιστικές τους εισφορές. </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rFonts w:eastAsia="Arial Unicode MS" w:cs="Tahoma"/>
          <w:sz w:val="24"/>
          <w:szCs w:val="24"/>
        </w:rPr>
      </w:pPr>
      <w:r>
        <w:rPr>
          <w:rFonts w:eastAsia="Arial Unicode MS" w:cs="Tahoma"/>
          <w:sz w:val="24"/>
          <w:szCs w:val="24"/>
        </w:rPr>
        <w:t>Όταν οι ελεγκτικοί μηχανισμοί του Σώματος Επιθεώρησης Εργασίας (ΣΕΠΕ) και του Φορέα διαπιστώνουν παραβάσεις που αφορούν στην αδήλωτη εργασία, την παράνομη απασχόληση αλλοδαπών ή παραβάσεις της εργατικής και ασφαλιστικής νομοθεσίας, ενημερώνουν εγγράφως τον αποδέκτη των υπηρεσιών. Επίσης, τον ενημερώνουν εγγράφως για τις πράξεις επιβολής προστίμου που αφορούν τις ανωτέρω διαπιστωθείσες παραβάσεις. Η επιβολή δεύτερης κύρωσης στον εργολάβο από τα ίδια όργανα θεωρείται υποτροπή και οδηγεί υποχρεωτικά: α) στην καταγγελία της σύμβασης και β) επιφέρει από το χρόνο επιβολής της δεύτερης κύρωσης τον αποκλεισμό του εν λόγω εργολάβου από δημόσιους διαγωνισμούς για τρία (3) έτη.</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rFonts w:eastAsia="Arial Unicode MS" w:cs="Tahoma"/>
          <w:sz w:val="24"/>
          <w:szCs w:val="24"/>
        </w:rPr>
      </w:pPr>
      <w:r>
        <w:rPr>
          <w:rFonts w:eastAsia="Arial Unicode MS" w:cs="Tahoma"/>
          <w:sz w:val="24"/>
          <w:szCs w:val="24"/>
        </w:rPr>
        <w:t>Η Αναθέτουσα Αρχή διατηρεί το δικαίωμα, με μονομερή δήλωσή της, να κηρύξει τον παρέχοντα υπηρεσίες έκπτωτο, κατά την ελεύθερη κρίση του, από τη σύμβαση και μάλιστα αζημίως σε περίπτωση αθέτησης, γενικά οποιουδήποτε συμβατικού όρου.</w:t>
      </w:r>
    </w:p>
    <w:p>
      <w:pPr>
        <w:pStyle w:val="Normal"/>
        <w:numPr>
          <w:ilvl w:val="0"/>
          <w:numId w:val="22"/>
        </w:numPr>
        <w:shd w:val="clear" w:color="auto" w:fill="FFFFFF"/>
        <w:tabs>
          <w:tab w:val="clear" w:pos="720"/>
          <w:tab w:val="left" w:pos="567" w:leader="none"/>
        </w:tabs>
        <w:spacing w:before="0" w:after="0"/>
        <w:ind w:left="426" w:right="0" w:hanging="426"/>
        <w:contextualSpacing/>
        <w:jc w:val="both"/>
        <w:rPr>
          <w:rFonts w:eastAsia="Arial Unicode MS" w:cs="Tahoma"/>
          <w:sz w:val="24"/>
          <w:szCs w:val="24"/>
        </w:rPr>
      </w:pPr>
      <w:r>
        <w:rPr>
          <w:rFonts w:eastAsia="Arial Unicode MS" w:cs="Tahoma"/>
          <w:sz w:val="24"/>
          <w:szCs w:val="24"/>
        </w:rPr>
        <w:t>Σε περίπτωση που ο παρέχων υπηρεσίες, κηρυχθεί έκπτωτος, ο Φορέας δικαιούται να αξιώσει σωρευτικά και την ανόρθωση κάθε ζημίας του, κατά τις διατάξεις της κείμενης ελληνικής νομοθεσίας.</w:t>
      </w:r>
    </w:p>
    <w:p>
      <w:pPr>
        <w:pStyle w:val="Normal"/>
        <w:shd w:val="clear" w:color="auto" w:fill="FFFFFF"/>
        <w:tabs>
          <w:tab w:val="clear" w:pos="720"/>
          <w:tab w:val="left" w:pos="567" w:leader="none"/>
        </w:tabs>
        <w:spacing w:lineRule="auto" w:line="276" w:before="0" w:after="0"/>
        <w:contextualSpacing/>
        <w:rPr>
          <w:rFonts w:cs="Tahoma"/>
          <w:sz w:val="24"/>
          <w:lang w:val="el-GR"/>
        </w:rPr>
      </w:pPr>
      <w:r>
        <w:rPr>
          <w:rFonts w:cs="Tahoma"/>
          <w:sz w:val="24"/>
          <w:lang w:val="el-GR"/>
        </w:rPr>
      </w:r>
    </w:p>
    <w:p>
      <w:pPr>
        <w:pStyle w:val="2"/>
        <w:tabs>
          <w:tab w:val="clear" w:pos="567"/>
          <w:tab w:val="left" w:pos="142" w:leader="none"/>
        </w:tabs>
        <w:spacing w:lineRule="auto" w:line="276"/>
        <w:ind w:left="0" w:right="0" w:hanging="0"/>
        <w:rPr>
          <w:rFonts w:ascii="Calibri" w:hAnsi="Calibri" w:eastAsia="Arial Unicode MS"/>
          <w:sz w:val="24"/>
          <w:szCs w:val="24"/>
          <w:lang w:val="el-GR"/>
        </w:rPr>
      </w:pPr>
      <w:bookmarkStart w:id="259" w:name="__RefHeading___Toc35695_1890191151"/>
      <w:bookmarkStart w:id="260" w:name="_Toc138061922"/>
      <w:bookmarkStart w:id="261" w:name="_Toc138844705"/>
      <w:bookmarkEnd w:id="259"/>
      <w:r>
        <w:rPr>
          <w:rFonts w:eastAsia="Arial Unicode MS" w:ascii="Calibri" w:hAnsi="Calibri"/>
          <w:sz w:val="24"/>
          <w:szCs w:val="24"/>
          <w:lang w:val="el-GR"/>
        </w:rPr>
        <w:t>ΑΡΘΡΟ 5: ΕΙΔΙΚΟΙ ΟΡΟΙ ΣΥΜΦΩΝΑ ΜΕ ΤΟ ΑΡΘΡΟ 68 ΤΟΥ Ν. 3863/2010 ΟΠΩΣ ΤΡΟΠΟΠΟΙΗΜΕΝΟ ΙΣΧΥΕΙ</w:t>
      </w:r>
      <w:bookmarkEnd w:id="260"/>
      <w:bookmarkEnd w:id="261"/>
    </w:p>
    <w:p>
      <w:pPr>
        <w:pStyle w:val="Normal"/>
        <w:spacing w:lineRule="auto" w:line="276"/>
        <w:rPr>
          <w:rFonts w:cs="Tahoma"/>
          <w:sz w:val="24"/>
          <w:lang w:val="el-GR"/>
        </w:rPr>
      </w:pPr>
      <w:r>
        <w:rPr>
          <w:rFonts w:cs="Tahoma"/>
          <w:sz w:val="24"/>
          <w:lang w:val="el-GR"/>
        </w:rPr>
        <w:t>Τα στοιχεία α΄έως στ΄της πρώτης παραγράφου του άρθρου 68 του Ν. 3863/2010, σύμφωνα με την προσφορά του αναδόχου είναι τα ακόλουθα:</w:t>
      </w:r>
    </w:p>
    <w:p>
      <w:pPr>
        <w:pStyle w:val="Normal"/>
        <w:spacing w:lineRule="auto" w:line="276"/>
        <w:rPr>
          <w:rFonts w:cs="Tahoma"/>
          <w:sz w:val="24"/>
          <w:lang w:val="el-GR"/>
        </w:rPr>
      </w:pPr>
      <w:r>
        <w:rPr>
          <w:rFonts w:cs="Tahoma"/>
          <w:sz w:val="24"/>
          <w:lang w:val="el-GR"/>
        </w:rPr>
        <w:t>………………………………</w:t>
      </w:r>
    </w:p>
    <w:p>
      <w:pPr>
        <w:pStyle w:val="Normal"/>
        <w:spacing w:lineRule="auto" w:line="276"/>
        <w:rPr>
          <w:rFonts w:cs="Tahoma"/>
          <w:sz w:val="24"/>
          <w:highlight w:val="yellow"/>
          <w:lang w:val="el-GR"/>
        </w:rPr>
      </w:pPr>
      <w:r>
        <w:rPr>
          <w:rFonts w:cs="Tahoma"/>
          <w:sz w:val="24"/>
          <w:highlight w:val="yellow"/>
          <w:lang w:val="el-GR"/>
        </w:rPr>
      </w:r>
    </w:p>
    <w:p>
      <w:pPr>
        <w:pStyle w:val="2"/>
        <w:spacing w:lineRule="auto" w:line="276"/>
        <w:ind w:left="567" w:right="0" w:hanging="567"/>
        <w:rPr>
          <w:rFonts w:ascii="Calibri" w:hAnsi="Calibri"/>
          <w:sz w:val="24"/>
          <w:szCs w:val="24"/>
          <w:lang w:val="el-GR"/>
        </w:rPr>
      </w:pPr>
      <w:bookmarkStart w:id="262" w:name="__RefHeading___Toc35697_1890191151"/>
      <w:bookmarkStart w:id="263" w:name="_Toc138061923"/>
      <w:bookmarkStart w:id="264" w:name="_Toc75718032"/>
      <w:bookmarkStart w:id="265" w:name="_Toc75714999"/>
      <w:bookmarkStart w:id="266" w:name="_Toc138844706"/>
      <w:bookmarkEnd w:id="262"/>
      <w:r>
        <w:rPr>
          <w:rFonts w:ascii="Calibri" w:hAnsi="Calibri"/>
          <w:sz w:val="24"/>
          <w:szCs w:val="24"/>
          <w:lang w:val="el-GR"/>
        </w:rPr>
        <w:t>ΑΡΘΡΟ 6: ΤΡΟΠΟΣ ΠΛΗΡΩΜΗΣ – ΚΡΑΤΗΣΕΙΣ</w:t>
      </w:r>
      <w:bookmarkEnd w:id="263"/>
      <w:bookmarkEnd w:id="264"/>
      <w:bookmarkEnd w:id="265"/>
      <w:bookmarkEnd w:id="266"/>
    </w:p>
    <w:p>
      <w:pPr>
        <w:pStyle w:val="Standard"/>
        <w:spacing w:lineRule="auto" w:line="276"/>
        <w:jc w:val="both"/>
        <w:rPr/>
      </w:pPr>
      <w:r>
        <w:rPr>
          <w:rFonts w:cs="Tahoma" w:ascii="Calibri" w:hAnsi="Calibri"/>
          <w:bCs/>
        </w:rPr>
        <w:t xml:space="preserve">Η πληρωμή του Αναδόχου </w:t>
      </w:r>
      <w:r>
        <w:rPr>
          <w:rFonts w:eastAsia="Arial Unicode MS" w:cs="Tahoma" w:ascii="Calibri" w:hAnsi="Calibri"/>
        </w:rPr>
        <w:t xml:space="preserve">θα πραγματοποιηθεί τμηματικά και στο </w:t>
      </w:r>
      <w:r>
        <w:rPr>
          <w:rFonts w:eastAsia="Arial Unicode MS" w:cs="Tahoma" w:ascii="Calibri" w:hAnsi="Calibri"/>
          <w:b/>
        </w:rPr>
        <w:t>100% της μηνιαίας συμβατικής</w:t>
      </w:r>
      <w:r>
        <w:rPr>
          <w:rFonts w:eastAsia="Arial Unicode MS" w:cs="Tahoma" w:ascii="Calibri" w:hAnsi="Calibri"/>
        </w:rPr>
        <w:t xml:space="preserve"> αξίας μετά την οριστική παραλαβή ανά μήνα των υπηρεσιών.</w:t>
      </w:r>
    </w:p>
    <w:p>
      <w:pPr>
        <w:pStyle w:val="Standard"/>
        <w:spacing w:lineRule="auto" w:line="276"/>
        <w:jc w:val="both"/>
        <w:rPr>
          <w:rFonts w:ascii="Calibri" w:hAnsi="Calibri" w:eastAsia="Arial Unicode MS" w:cs="Tahoma"/>
        </w:rPr>
      </w:pPr>
      <w:r>
        <w:rPr>
          <w:rFonts w:eastAsia="Arial Unicode MS" w:cs="Tahoma" w:ascii="Calibri" w:hAnsi="Calibri"/>
        </w:rPr>
        <w:t xml:space="preserve">Η πληρωμή του συμβατικού τιμήματος θα γίνεται ανά μήνα, απολογιστικά, με την προσκόμιση των νομίμων παραστατικών και δικαιολογητικών που προβλέπονται από τις διατάξεις του άρθρου 200 παρ. 5 του ν. 4412/2016, όπως ισχύει, καθώς και κάθε άλλου δικαιολογητικού που τυχόν ζητηθεί από τις αρμόδιες υπηρεσίες που διενεργούν τον έλεγχο και την πληρωμή. </w:t>
      </w:r>
    </w:p>
    <w:p>
      <w:pPr>
        <w:pStyle w:val="Standard"/>
        <w:spacing w:lineRule="auto" w:line="276"/>
        <w:jc w:val="both"/>
        <w:rPr>
          <w:rFonts w:ascii="Calibri" w:hAnsi="Calibri" w:eastAsia="Times New Roman" w:cs="Tahoma"/>
          <w:b/>
          <w:b/>
          <w:lang w:eastAsia="el-GR"/>
        </w:rPr>
      </w:pPr>
      <w:r>
        <w:rPr>
          <w:rFonts w:eastAsia="Times New Roman" w:cs="Tahoma" w:ascii="Calibri" w:hAnsi="Calibri"/>
          <w:b/>
          <w:lang w:eastAsia="el-GR"/>
        </w:rPr>
        <w:t>Ο Ανάδοχος θα εκδίδει ανά μήνα, συγκεντρωτικό ανά Τμήμα τιμολόγιο παροχής υπηρεσιών, στο οποίο θα αναγράφεται το κόστος που αντιστοιχεί σε κάθε Κτίριο που συμπεριλαμβάνεται στο Τμήμα, σύμφωνα με την υποβληθείσα οικονομική προσφορά του.</w:t>
      </w:r>
    </w:p>
    <w:p>
      <w:pPr>
        <w:pStyle w:val="Standard"/>
        <w:spacing w:lineRule="auto" w:line="276"/>
        <w:jc w:val="both"/>
        <w:rPr>
          <w:rFonts w:ascii="Calibri" w:hAnsi="Calibri" w:eastAsia="Arial Unicode MS" w:cs="Tahoma"/>
          <w:b/>
          <w:b/>
        </w:rPr>
      </w:pPr>
      <w:r>
        <w:rPr>
          <w:rFonts w:eastAsia="Arial Unicode MS" w:cs="Tahoma" w:ascii="Calibri" w:hAnsi="Calibri"/>
          <w:b/>
        </w:rPr>
      </w:r>
    </w:p>
    <w:p>
      <w:pPr>
        <w:pStyle w:val="Normal"/>
        <w:pBdr>
          <w:top w:val="single" w:sz="4" w:space="1" w:color="000000"/>
          <w:left w:val="single" w:sz="4" w:space="4" w:color="000000"/>
          <w:bottom w:val="single" w:sz="4" w:space="1" w:color="000000"/>
          <w:right w:val="single" w:sz="4" w:space="4" w:color="000000"/>
        </w:pBdr>
        <w:spacing w:lineRule="auto" w:line="276" w:before="0" w:after="0"/>
        <w:rPr>
          <w:rFonts w:eastAsia="Arial Unicode MS" w:cs="Tahoma"/>
          <w:b/>
          <w:b/>
          <w:bCs/>
          <w:sz w:val="24"/>
          <w:u w:val="single"/>
          <w:lang w:val="el-GR"/>
        </w:rPr>
      </w:pPr>
      <w:r>
        <w:rPr>
          <w:rFonts w:eastAsia="Arial Unicode MS" w:cs="Tahoma"/>
          <w:b/>
          <w:bCs/>
          <w:sz w:val="24"/>
          <w:u w:val="single"/>
          <w:lang w:val="el-GR"/>
        </w:rPr>
        <w:t>Το/α τιμολόγιο/α θα εκδίδονται στα εξής στοιχεία:</w:t>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eastAsia="Arial Unicode MS" w:cs="Tahoma"/>
          <w:b/>
          <w:bCs/>
          <w:sz w:val="24"/>
          <w:lang w:val="el-GR"/>
        </w:rPr>
        <w:t xml:space="preserve">ΕΠΩΝΥΜΙΑ:ΗΛΕΚΤΡΟΝΙΚΟΣ ΕΘΝΙΚΟΣ ΦΟΡΕΑΣ ΚΟΙΝΩΝΙΚΗΣ ΑΣΦΑΛΙΣΗΣ - </w:t>
      </w:r>
      <w:r>
        <w:rPr>
          <w:rFonts w:eastAsia="Arial Unicode MS" w:cs="Tahoma"/>
          <w:b/>
          <w:bCs/>
          <w:sz w:val="24"/>
          <w:lang w:val="en-US"/>
        </w:rPr>
        <w:t>e</w:t>
      </w:r>
      <w:r>
        <w:rPr>
          <w:rFonts w:eastAsia="Arial Unicode MS" w:cs="Tahoma"/>
          <w:b/>
          <w:bCs/>
          <w:sz w:val="24"/>
          <w:lang w:val="el-GR"/>
        </w:rPr>
        <w:t>- Ε.Φ.Κ.Α./ Π.Υ.Σ.Υ. Θεσσαλίας</w:t>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eastAsia="Arial Unicode MS" w:cs="Tahoma"/>
          <w:b/>
          <w:bCs/>
          <w:sz w:val="24"/>
          <w:lang w:val="el-GR"/>
        </w:rPr>
        <w:t xml:space="preserve">ΕΠΑΓΓΕΛΜΑ: </w:t>
      </w:r>
      <w:r>
        <w:rPr>
          <w:rFonts w:eastAsia="Arial Unicode MS" w:cs="Tahoma"/>
          <w:sz w:val="24"/>
          <w:lang w:val="el-GR"/>
        </w:rPr>
        <w:t>ΑΣΦΑΛΙΣΤΙΚΟΣ ΟΡΓΑΝΙΣΜΟΣ - Ν.Π.Δ.Δ.</w:t>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eastAsia="Arial Unicode MS" w:cs="Tahoma"/>
          <w:b/>
          <w:bCs/>
          <w:sz w:val="24"/>
          <w:lang w:val="el-GR"/>
        </w:rPr>
        <w:t>ΔΙΕΥΘΥΝΣΗ:</w:t>
      </w:r>
      <w:r>
        <w:rPr>
          <w:rFonts w:eastAsia="Arial Unicode MS" w:cs="Tahoma"/>
          <w:sz w:val="24"/>
          <w:lang w:val="el-GR"/>
        </w:rPr>
        <w:t>ΑΓΗΣΙΛΑΟΥ 48, 10436, ΑΘΗΝΑ</w:t>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eastAsia="Arial Unicode MS" w:cs="Tahoma"/>
          <w:b/>
          <w:bCs/>
          <w:sz w:val="24"/>
          <w:lang w:val="el-GR"/>
        </w:rPr>
        <w:t>Α.Φ.Μ.:</w:t>
      </w:r>
      <w:r>
        <w:rPr>
          <w:rFonts w:eastAsia="Arial Unicode MS" w:cs="Tahoma"/>
          <w:sz w:val="24"/>
          <w:lang w:val="el-GR"/>
        </w:rPr>
        <w:t xml:space="preserve"> </w:t>
      </w:r>
      <w:r>
        <w:rPr>
          <w:rFonts w:cs="Tahoma"/>
          <w:b/>
          <w:sz w:val="24"/>
          <w:lang w:val="el-GR"/>
        </w:rPr>
        <w:t>997072577</w:t>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eastAsia="Arial Unicode MS" w:cs="Tahoma"/>
          <w:b/>
          <w:bCs/>
          <w:sz w:val="24"/>
          <w:lang w:val="el-GR"/>
        </w:rPr>
        <w:t>Δ.Ο.Υ. :</w:t>
      </w:r>
      <w:r>
        <w:rPr>
          <w:rFonts w:eastAsia="Arial Unicode MS" w:cs="Tahoma"/>
          <w:sz w:val="24"/>
          <w:lang w:val="el-GR"/>
        </w:rPr>
        <w:t xml:space="preserve"> Δ΄ ΑΘΗΝΩΝ</w:t>
      </w:r>
    </w:p>
    <w:p>
      <w:pPr>
        <w:pStyle w:val="Normal"/>
        <w:pBdr>
          <w:top w:val="single" w:sz="4" w:space="1" w:color="000000"/>
          <w:left w:val="single" w:sz="4" w:space="4" w:color="000000"/>
          <w:bottom w:val="single" w:sz="4" w:space="1" w:color="000000"/>
          <w:right w:val="single" w:sz="4" w:space="4" w:color="000000"/>
        </w:pBdr>
        <w:spacing w:lineRule="auto" w:line="276" w:before="0" w:after="0"/>
        <w:rPr>
          <w:rFonts w:eastAsia="Arial Unicode MS" w:cs="Tahoma"/>
          <w:sz w:val="24"/>
          <w:lang w:val="el-GR"/>
        </w:rPr>
      </w:pPr>
      <w:r>
        <w:rPr>
          <w:rFonts w:eastAsia="Arial Unicode MS" w:cs="Tahoma"/>
          <w:sz w:val="24"/>
          <w:lang w:val="el-GR"/>
        </w:rPr>
        <w:t>Το τιμολόγιο του προμηθευτή θα είναι σε ευρώ (€).</w:t>
      </w:r>
    </w:p>
    <w:p>
      <w:pPr>
        <w:pStyle w:val="Normal"/>
        <w:pBdr>
          <w:top w:val="single" w:sz="4" w:space="1" w:color="000000"/>
          <w:left w:val="single" w:sz="4" w:space="4" w:color="000000"/>
          <w:bottom w:val="single" w:sz="4" w:space="1" w:color="000000"/>
          <w:right w:val="single" w:sz="4" w:space="4" w:color="000000"/>
        </w:pBdr>
        <w:spacing w:lineRule="auto" w:line="276" w:before="0" w:after="0"/>
        <w:rPr/>
      </w:pPr>
      <w:r>
        <w:rPr>
          <w:rFonts w:eastAsia="Arial Unicode MS" w:cs="Tahoma"/>
          <w:sz w:val="24"/>
          <w:lang w:val="el-GR"/>
        </w:rPr>
        <w:t xml:space="preserve">Ο Ανάδοχος υποχρεούται να αποστέλλει </w:t>
      </w:r>
      <w:r>
        <w:rPr>
          <w:rFonts w:eastAsia="Arial Unicode MS" w:cs="Tahoma"/>
          <w:sz w:val="24"/>
          <w:u w:val="single"/>
          <w:lang w:val="el-GR"/>
        </w:rPr>
        <w:t>τα τιμολόγια τόσο σε ηλεκτρονική μορφή</w:t>
      </w:r>
      <w:r>
        <w:rPr>
          <w:rFonts w:eastAsia="Arial Unicode MS" w:cs="Tahoma"/>
          <w:sz w:val="24"/>
          <w:lang w:val="el-GR"/>
        </w:rPr>
        <w:t xml:space="preserve">, στην ηλεκτρονική διεύθυνση: </w:t>
      </w:r>
      <w:hyperlink r:id="rId58">
        <w:r>
          <w:rPr>
            <w:rStyle w:val="Style7"/>
            <w:rFonts w:eastAsia="Arial Unicode MS" w:cs="Times New Roman"/>
            <w:sz w:val="24"/>
            <w:lang w:val="el-GR" w:eastAsia="el-GR"/>
          </w:rPr>
          <w:t>pysy.thessalias@efka.gov.gr</w:t>
        </w:r>
      </w:hyperlink>
      <w:r>
        <w:rPr>
          <w:rFonts w:eastAsia="Arial Unicode MS" w:cs="Tahoma"/>
          <w:sz w:val="24"/>
          <w:lang w:val="el-GR"/>
        </w:rPr>
        <w:t xml:space="preserve">, </w:t>
      </w:r>
      <w:r>
        <w:rPr>
          <w:rFonts w:eastAsia="Arial Unicode MS" w:cs="Tahoma"/>
          <w:sz w:val="24"/>
          <w:u w:val="single"/>
          <w:lang w:val="el-GR"/>
        </w:rPr>
        <w:t>όσο και σε έντυπη μορφή</w:t>
      </w:r>
      <w:r>
        <w:rPr>
          <w:rFonts w:eastAsia="Arial Unicode MS" w:cs="Tahoma"/>
          <w:sz w:val="24"/>
          <w:lang w:val="el-GR"/>
        </w:rPr>
        <w:t xml:space="preserve"> στην ταχυδρομική διεύθυνση: </w:t>
      </w:r>
      <w:r>
        <w:rPr>
          <w:rFonts w:eastAsia="Arial Unicode MS" w:cs="Times New Roman"/>
          <w:color w:val="000000"/>
          <w:sz w:val="24"/>
          <w:lang w:val="el-GR" w:eastAsia="el-GR"/>
        </w:rPr>
        <w:t xml:space="preserve">ΠΥΣΥ Θεσσαλίας, Τμήμα Συντονισμού και Υποστήριξης, </w:t>
      </w:r>
      <w:r>
        <w:rPr>
          <w:rFonts w:eastAsia="Arial Unicode MS" w:cs="Times New Roman"/>
          <w:sz w:val="24"/>
          <w:lang w:val="el-GR" w:eastAsia="el-GR"/>
        </w:rPr>
        <w:t>Αγχιάλου &amp; Αγ. Τριάδος, Τ. Κ. 413 34, Λάρισα,  σ</w:t>
      </w:r>
      <w:r>
        <w:rPr>
          <w:rFonts w:eastAsia="Arial Unicode MS" w:cs="Times New Roman"/>
          <w:color w:val="000000"/>
          <w:sz w:val="24"/>
          <w:lang w:val="el-GR" w:eastAsia="el-GR"/>
        </w:rPr>
        <w:t xml:space="preserve">τα οποία θα αναγράφονται πέραν των ως άνω στοιχείων του Φορέα και τα στοιχεία της Σύμβασης. </w:t>
      </w:r>
      <w:r>
        <w:rPr>
          <w:rFonts w:eastAsia="Arial Unicode MS" w:cs="Times New Roman"/>
          <w:b/>
          <w:bCs/>
          <w:color w:val="000000"/>
          <w:sz w:val="24"/>
          <w:lang w:val="el-GR" w:eastAsia="el-GR"/>
        </w:rPr>
        <w:t>Κάθε παραστατικό (τιμολόγιο ή δελτίο αποστολής) θα πρέπει να φέρει τα πλήρη στοιχεία των ειδών που παραδίδονται (</w:t>
      </w:r>
      <w:r>
        <w:rPr>
          <w:rFonts w:eastAsia="Arial Unicode MS" w:cs="Times New Roman"/>
          <w:sz w:val="24"/>
          <w:lang w:val="el-GR" w:eastAsia="el-GR"/>
        </w:rPr>
        <w:t xml:space="preserve"> </w:t>
      </w:r>
      <w:r>
        <w:rPr>
          <w:rFonts w:eastAsia="Arial Unicode MS" w:cs="Times New Roman"/>
          <w:b/>
          <w:bCs/>
          <w:color w:val="000000"/>
          <w:sz w:val="24"/>
          <w:lang w:val="el-GR" w:eastAsia="el-GR"/>
        </w:rPr>
        <w:t>περιγραφή, ποσότητα, τιμή μονάδος, ποσοστό έκπτωσης κτλ).</w:t>
      </w:r>
    </w:p>
    <w:p>
      <w:pPr>
        <w:pStyle w:val="Normal"/>
        <w:spacing w:lineRule="auto" w:line="276" w:before="0" w:after="0"/>
        <w:rPr>
          <w:rFonts w:eastAsia="Arial Unicode MS" w:cs="Tahoma"/>
          <w:b/>
          <w:b/>
          <w:sz w:val="24"/>
          <w:lang w:val="el-GR"/>
        </w:rPr>
      </w:pPr>
      <w:r>
        <w:rPr>
          <w:rFonts w:eastAsia="Arial Unicode MS" w:cs="Tahoma"/>
          <w:b/>
          <w:sz w:val="24"/>
          <w:lang w:val="el-GR"/>
        </w:rPr>
      </w:r>
    </w:p>
    <w:p>
      <w:pPr>
        <w:pStyle w:val="Normal"/>
        <w:spacing w:lineRule="auto" w:line="276" w:before="0" w:after="0"/>
        <w:rPr/>
      </w:pPr>
      <w:r>
        <w:rPr>
          <w:rFonts w:eastAsia="Arial Unicode MS" w:cs="Tahoma"/>
          <w:sz w:val="24"/>
          <w:lang w:val="el-GR"/>
        </w:rPr>
        <w:t xml:space="preserve">Toν Ανάδοχο βαρύνουν </w:t>
      </w:r>
      <w:r>
        <w:rPr>
          <w:rFonts w:eastAsia="Arial Unicode MS" w:cs="Tahoma"/>
          <w:sz w:val="24"/>
          <w:lang w:val="el-GR" w:eastAsia="el-GR"/>
        </w:rPr>
        <w:t>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w:t>
      </w:r>
    </w:p>
    <w:p>
      <w:pPr>
        <w:pStyle w:val="Normal"/>
        <w:spacing w:lineRule="auto" w:line="276"/>
        <w:rPr/>
      </w:pPr>
      <w:r>
        <w:rPr>
          <w:rFonts w:cs="Tahoma"/>
          <w:b/>
          <w:bCs/>
          <w:sz w:val="24"/>
          <w:lang w:val="el-GR"/>
        </w:rPr>
        <w:t>α)</w:t>
      </w:r>
      <w:r>
        <w:rPr>
          <w:rFonts w:cs="Tahoma"/>
          <w:sz w:val="24"/>
          <w:lang w:val="el-GR"/>
        </w:rPr>
        <w:t xml:space="preserve"> Κράτηση </w:t>
      </w:r>
      <w:r>
        <w:rPr>
          <w:rFonts w:cs="Tahoma"/>
          <w:b/>
          <w:bCs/>
          <w:sz w:val="24"/>
          <w:lang w:val="el-GR"/>
        </w:rPr>
        <w:t>0,10%</w:t>
      </w:r>
      <w:r>
        <w:rPr>
          <w:rFonts w:cs="Tahoma"/>
          <w:sz w:val="24"/>
          <w:lang w:val="el-GR"/>
        </w:rPr>
        <w:t xml:space="preserve"> υπέρ της </w:t>
      </w:r>
      <w:r>
        <w:rPr>
          <w:rFonts w:cs="Tahoma"/>
          <w:b/>
          <w:bCs/>
          <w:sz w:val="24"/>
        </w:rPr>
        <w:t> </w:t>
      </w:r>
      <w:r>
        <w:rPr>
          <w:rFonts w:cs="Tahoma"/>
          <w:b/>
          <w:bCs/>
          <w:sz w:val="24"/>
          <w:lang w:val="el-GR"/>
        </w:rPr>
        <w:t xml:space="preserve">Ενιαίας Αρχής Δημοσίων Συμβάσεων </w:t>
      </w:r>
      <w:r>
        <w:rPr>
          <w:rFonts w:cs="Tahoma"/>
          <w:sz w:val="24"/>
          <w:lang w:val="el-GR"/>
        </w:rPr>
        <w:t>(Ν.4912/2022, ΦΕΚ Α 59/17-03-2022) η οποία υπολογίζεται επί της αξίας κάθε πληρωμής προ φόρων και κρατήσεων της αρχικής, καθώς και κάθε συμπληρωματικής ή τροποποιητικής σύμβασης. Το ποσό της κράτησης παρακρατείται από την αναθέτουσα αρχή στο όνομα και για λογαριασμό της Ενιαίας Αρχής Δημοσίων Συμβάσεων (Ε.Α.ΔΗ.ΣΥ. ) και κατατίθεται σε ειδικό τραπεζικό λογαριασμό.</w:t>
      </w:r>
    </w:p>
    <w:p>
      <w:pPr>
        <w:pStyle w:val="Normal"/>
        <w:spacing w:lineRule="auto" w:line="276"/>
        <w:rPr/>
      </w:pPr>
      <w:r>
        <w:rPr>
          <w:rFonts w:cs="Tahoma"/>
          <w:b/>
          <w:bCs/>
          <w:sz w:val="24"/>
          <w:lang w:val="el-GR"/>
        </w:rPr>
        <w:t xml:space="preserve">β) </w:t>
      </w:r>
      <w:r>
        <w:rPr>
          <w:rFonts w:cs="Tahoma"/>
          <w:sz w:val="24"/>
          <w:lang w:val="el-GR"/>
        </w:rPr>
        <w:t xml:space="preserve">Κράτηση </w:t>
      </w:r>
      <w:r>
        <w:rPr>
          <w:rFonts w:cs="Tahoma"/>
          <w:color w:val="000000"/>
          <w:sz w:val="24"/>
          <w:lang w:val="el-GR"/>
        </w:rPr>
        <w:t xml:space="preserve">ύψους </w:t>
      </w:r>
      <w:r>
        <w:rPr>
          <w:rFonts w:cs="Tahoma"/>
          <w:b/>
          <w:color w:val="000000"/>
          <w:sz w:val="24"/>
          <w:lang w:val="el-GR"/>
        </w:rPr>
        <w:t>0,02%</w:t>
      </w:r>
      <w:r>
        <w:rPr>
          <w:rFonts w:cs="Tahoma"/>
          <w:color w:val="000000"/>
          <w:sz w:val="24"/>
          <w:lang w:val="el-GR"/>
        </w:rPr>
        <w:t xml:space="preserve"> υπέρ της ανάπτυξης και συντήρησης του ΟΠΣ ΕΣΗΔΗΣ, η οποία υπολογίζεται επί της αξίας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το οποίο αρμοδίως ρυθμίζει θέματα σχετικά με τον χρόνο, τον τρόπο και τη διαδικασία κράτησης των ως άνω χρηματικών ποσών, καθώς και κάθε άλλο αναγκαίο θέμα για την εφαρμογή της διάταξης.</w:t>
      </w:r>
    </w:p>
    <w:p>
      <w:pPr>
        <w:pStyle w:val="Normal"/>
        <w:spacing w:lineRule="auto" w:line="276"/>
        <w:rPr>
          <w:rFonts w:cs="Tahoma"/>
          <w:b/>
          <w:b/>
          <w:bCs/>
          <w:sz w:val="24"/>
          <w:lang w:val="el-GR"/>
        </w:rPr>
      </w:pPr>
      <w:r>
        <w:rPr>
          <w:rFonts w:cs="Tahoma"/>
          <w:b/>
          <w:bCs/>
          <w:sz w:val="24"/>
          <w:lang w:val="el-GR"/>
        </w:rPr>
        <w:t>γ) Οι υπέρ τρίτων κρατήσεις υπόκεινται στο εκάστοτε ισχύον αναλογικό τέλος χαρτοσήμου 3% και επ’ αυτού εισφορά υπέρ ΟΓΑ 20% .</w:t>
      </w:r>
    </w:p>
    <w:p>
      <w:pPr>
        <w:pStyle w:val="Normal"/>
        <w:spacing w:lineRule="auto" w:line="276" w:before="0" w:after="0"/>
        <w:rPr>
          <w:rFonts w:eastAsia="Arial Unicode MS" w:cs="Tahoma"/>
          <w:sz w:val="24"/>
          <w:lang w:val="el-GR" w:eastAsia="el-GR"/>
        </w:rPr>
      </w:pPr>
      <w:r>
        <w:rPr>
          <w:rFonts w:eastAsia="Arial Unicode MS" w:cs="Tahoma"/>
          <w:sz w:val="24"/>
          <w:lang w:val="el-GR" w:eastAsia="el-GR"/>
        </w:rPr>
        <w:t>Με κάθε πληρωμή θα γίνεται η  προβλεπόμενη από την κείμενη νομοθεσία παρακράτηση φόρου εισοδήματος αξίας 8% επί του καθαρού ποσού.</w:t>
      </w:r>
    </w:p>
    <w:p>
      <w:pPr>
        <w:pStyle w:val="Normal"/>
        <w:spacing w:lineRule="auto" w:line="276" w:before="0" w:after="0"/>
        <w:rPr>
          <w:rFonts w:cs="Tahoma"/>
          <w:b/>
          <w:b/>
          <w:bCs/>
          <w:sz w:val="24"/>
          <w:lang w:val="el-GR"/>
        </w:rPr>
      </w:pPr>
      <w:r>
        <w:rPr>
          <w:rFonts w:cs="Tahoma"/>
          <w:b/>
          <w:bCs/>
          <w:sz w:val="24"/>
          <w:lang w:val="el-GR"/>
        </w:rPr>
      </w:r>
    </w:p>
    <w:p>
      <w:pPr>
        <w:pStyle w:val="2"/>
        <w:spacing w:lineRule="auto" w:line="276"/>
        <w:ind w:left="567" w:right="0" w:hanging="567"/>
        <w:rPr/>
      </w:pPr>
      <w:bookmarkStart w:id="267" w:name="__RefHeading___Toc35699_1890191151"/>
      <w:bookmarkStart w:id="268" w:name="_Toc138061924"/>
      <w:bookmarkStart w:id="269" w:name="_Toc75718033"/>
      <w:bookmarkStart w:id="270" w:name="_Toc75715000"/>
      <w:bookmarkStart w:id="271" w:name="_Toc138844707"/>
      <w:bookmarkEnd w:id="267"/>
      <w:r>
        <w:rPr>
          <w:rFonts w:ascii="Calibri" w:hAnsi="Calibri"/>
          <w:sz w:val="24"/>
          <w:szCs w:val="24"/>
          <w:lang w:val="el-GR"/>
        </w:rPr>
        <w:t>ΑΡΘΡΟ 7: ΑΝΑΠΡΟΣΑΡΜΟΓΗ ΤΙΜΗΣ</w:t>
      </w:r>
      <w:bookmarkEnd w:id="268"/>
      <w:bookmarkEnd w:id="269"/>
      <w:bookmarkEnd w:id="270"/>
      <w:bookmarkEnd w:id="271"/>
      <w:r>
        <w:rPr>
          <w:rFonts w:ascii="Calibri" w:hAnsi="Calibri"/>
          <w:sz w:val="24"/>
          <w:szCs w:val="24"/>
          <w:lang w:val="el-GR"/>
        </w:rPr>
        <w:t xml:space="preserve"> </w:t>
      </w:r>
    </w:p>
    <w:p>
      <w:pPr>
        <w:pStyle w:val="Style19"/>
        <w:spacing w:lineRule="auto" w:line="276" w:before="133" w:after="240"/>
        <w:ind w:left="0" w:right="142" w:hanging="0"/>
        <w:rPr/>
      </w:pPr>
      <w:r>
        <w:rPr>
          <w:rFonts w:cs="Tahoma"/>
          <w:sz w:val="24"/>
          <w:lang w:val="el-GR"/>
        </w:rPr>
        <w:t>Σύμφωνα με τις διατάξεις του άρθρου 53 του ν.4412/12 όπως τροποποιήθηκε και ισχύει, σε</w:t>
      </w:r>
      <w:r>
        <w:rPr>
          <w:rFonts w:cs="Tahoma"/>
          <w:spacing w:val="1"/>
          <w:sz w:val="24"/>
          <w:lang w:val="el-GR"/>
        </w:rPr>
        <w:t xml:space="preserve"> </w:t>
      </w:r>
      <w:r>
        <w:rPr>
          <w:rFonts w:cs="Tahoma"/>
          <w:sz w:val="24"/>
          <w:lang w:val="el-GR"/>
        </w:rPr>
        <w:t>περίπτωση αύξησης του κατώτατου μισθού εργαζόμενου σε σχέση με αυτόν που ίσχυε κατά την</w:t>
      </w:r>
      <w:r>
        <w:rPr>
          <w:rFonts w:cs="Tahoma"/>
          <w:spacing w:val="1"/>
          <w:sz w:val="24"/>
          <w:lang w:val="el-GR"/>
        </w:rPr>
        <w:t xml:space="preserve"> </w:t>
      </w:r>
      <w:r>
        <w:rPr>
          <w:rFonts w:cs="Tahoma"/>
          <w:sz w:val="24"/>
          <w:lang w:val="el-GR"/>
        </w:rPr>
        <w:t>καταληκτική ημερομηνία υποβολής των προσφορών, η τιμή αναπροσαρμόζεται υποχρεωτικά, υπό</w:t>
      </w:r>
      <w:r>
        <w:rPr>
          <w:rFonts w:cs="Tahoma"/>
          <w:spacing w:val="-66"/>
          <w:sz w:val="24"/>
          <w:lang w:val="el-GR"/>
        </w:rPr>
        <w:t xml:space="preserve"> </w:t>
      </w:r>
      <w:r>
        <w:rPr>
          <w:rFonts w:cs="Tahoma"/>
          <w:sz w:val="24"/>
          <w:lang w:val="el-GR"/>
        </w:rPr>
        <w:t>τους</w:t>
      </w:r>
      <w:r>
        <w:rPr>
          <w:rFonts w:cs="Tahoma"/>
          <w:spacing w:val="-1"/>
          <w:sz w:val="24"/>
          <w:lang w:val="el-GR"/>
        </w:rPr>
        <w:t xml:space="preserve"> </w:t>
      </w:r>
      <w:r>
        <w:rPr>
          <w:rFonts w:cs="Tahoma"/>
          <w:sz w:val="24"/>
          <w:lang w:val="el-GR"/>
        </w:rPr>
        <w:t>περιορισμούς του</w:t>
      </w:r>
      <w:r>
        <w:rPr>
          <w:rFonts w:cs="Tahoma"/>
          <w:spacing w:val="-1"/>
          <w:sz w:val="24"/>
          <w:lang w:val="el-GR"/>
        </w:rPr>
        <w:t xml:space="preserve"> </w:t>
      </w:r>
      <w:r>
        <w:rPr>
          <w:rFonts w:cs="Tahoma"/>
          <w:sz w:val="24"/>
          <w:lang w:val="el-GR"/>
        </w:rPr>
        <w:t>άρθρου</w:t>
      </w:r>
      <w:r>
        <w:rPr>
          <w:rFonts w:cs="Tahoma"/>
          <w:spacing w:val="-1"/>
          <w:sz w:val="24"/>
          <w:lang w:val="el-GR"/>
        </w:rPr>
        <w:t xml:space="preserve"> </w:t>
      </w:r>
      <w:r>
        <w:rPr>
          <w:rFonts w:cs="Tahoma"/>
          <w:sz w:val="24"/>
          <w:lang w:val="el-GR"/>
        </w:rPr>
        <w:t>132,</w:t>
      </w:r>
      <w:r>
        <w:rPr>
          <w:rFonts w:cs="Tahoma"/>
          <w:spacing w:val="-1"/>
          <w:sz w:val="24"/>
          <w:lang w:val="el-GR"/>
        </w:rPr>
        <w:t xml:space="preserve"> </w:t>
      </w:r>
      <w:r>
        <w:rPr>
          <w:rFonts w:cs="Tahoma"/>
          <w:sz w:val="24"/>
          <w:lang w:val="el-GR"/>
        </w:rPr>
        <w:t>σύμφωνα</w:t>
      </w:r>
      <w:r>
        <w:rPr>
          <w:rFonts w:cs="Tahoma"/>
          <w:spacing w:val="-1"/>
          <w:sz w:val="24"/>
          <w:lang w:val="el-GR"/>
        </w:rPr>
        <w:t xml:space="preserve"> </w:t>
      </w:r>
      <w:r>
        <w:rPr>
          <w:rFonts w:cs="Tahoma"/>
          <w:sz w:val="24"/>
          <w:lang w:val="el-GR"/>
        </w:rPr>
        <w:t>με</w:t>
      </w:r>
      <w:r>
        <w:rPr>
          <w:rFonts w:cs="Tahoma"/>
          <w:spacing w:val="-1"/>
          <w:sz w:val="24"/>
          <w:lang w:val="el-GR"/>
        </w:rPr>
        <w:t xml:space="preserve"> </w:t>
      </w:r>
      <w:r>
        <w:rPr>
          <w:rFonts w:cs="Tahoma"/>
          <w:sz w:val="24"/>
          <w:lang w:val="el-GR"/>
        </w:rPr>
        <w:t>τον</w:t>
      </w:r>
      <w:r>
        <w:rPr>
          <w:rFonts w:cs="Tahoma"/>
          <w:spacing w:val="-1"/>
          <w:sz w:val="24"/>
          <w:lang w:val="el-GR"/>
        </w:rPr>
        <w:t xml:space="preserve"> </w:t>
      </w:r>
      <w:r>
        <w:rPr>
          <w:rFonts w:cs="Tahoma"/>
          <w:sz w:val="24"/>
          <w:lang w:val="el-GR"/>
        </w:rPr>
        <w:t>τύπο:</w:t>
      </w:r>
    </w:p>
    <w:p>
      <w:pPr>
        <w:pStyle w:val="Style19"/>
        <w:spacing w:lineRule="auto" w:line="276"/>
        <w:rPr/>
      </w:pPr>
      <w:r>
        <w:rPr/>
        <mc:AlternateContent>
          <mc:Choice Requires="wps">
            <w:drawing>
              <wp:inline distT="0" distB="0" distL="0" distR="0">
                <wp:extent cx="6117590" cy="304165"/>
                <wp:effectExtent l="0" t="0" r="0" b="0"/>
                <wp:docPr id="11" name=""/>
                <a:graphic xmlns:a="http://schemas.openxmlformats.org/drawingml/2006/main">
                  <a:graphicData uri="http://schemas.microsoft.com/office/word/2010/wordprocessingShape">
                    <wps:wsp>
                      <wps:cNvSpPr/>
                      <wps:spPr>
                        <a:xfrm>
                          <a:off x="0" y="0"/>
                          <a:ext cx="6117120" cy="303480"/>
                        </a:xfrm>
                        <a:prstGeom prst="rect">
                          <a:avLst/>
                        </a:prstGeom>
                        <a:noFill/>
                        <a:ln w="19080">
                          <a:noFill/>
                        </a:ln>
                      </wps:spPr>
                      <wps:style>
                        <a:lnRef idx="0"/>
                        <a:fillRef idx="0"/>
                        <a:effectRef idx="0"/>
                        <a:fontRef idx="minor"/>
                      </wps:style>
                      <wps:txbx>
                        <w:txbxContent>
                          <w:p>
                            <w:pPr>
                              <w:pStyle w:val="Normal"/>
                              <w:spacing w:before="20" w:after="240"/>
                              <w:ind w:left="0" w:right="3428" w:hanging="0"/>
                              <w:jc w:val="center"/>
                              <w:rPr>
                                <w:color w:val="000000"/>
                              </w:rPr>
                            </w:pPr>
                            <w:r>
                              <w:rPr>
                                <w:color w:val="000000"/>
                              </w:rPr>
                            </w:r>
                          </w:p>
                        </w:txbxContent>
                      </wps:txbx>
                      <wps:bodyPr lIns="0" rIns="0" tIns="0" bIns="0">
                        <a:noAutofit/>
                      </wps:bodyPr>
                    </wps:wsp>
                  </a:graphicData>
                </a:graphic>
              </wp:inline>
            </w:drawing>
          </mc:Choice>
          <mc:Fallback>
            <w:pict>
              <v:rect id="shape_0" stroked="f" style="position:absolute;margin-left:0pt;margin-top:-23.95pt;width:481.6pt;height:23.85pt;mso-position-vertical:top">
                <w10:wrap type="none"/>
                <v:fill o:detectmouseclick="t" on="false"/>
                <v:stroke color="#3465a4" weight="19080" joinstyle="round" endcap="flat"/>
                <v:textbox>
                  <w:txbxContent>
                    <w:p>
                      <w:pPr>
                        <w:pStyle w:val="Normal"/>
                        <w:spacing w:before="20" w:after="240"/>
                        <w:ind w:left="0" w:right="3428" w:hanging="0"/>
                        <w:jc w:val="center"/>
                        <w:rPr>
                          <w:color w:val="000000"/>
                        </w:rPr>
                      </w:pPr>
                      <w:r>
                        <w:rPr>
                          <w:color w:val="000000"/>
                        </w:rPr>
                      </w:r>
                    </w:p>
                  </w:txbxContent>
                </v:textbox>
              </v:rect>
            </w:pict>
          </mc:Fallback>
        </mc:AlternateContent>
        <mc:AlternateContent>
          <mc:Choice Requires="wps">
            <w:drawing>
              <wp:anchor behindDoc="0" distT="0" distB="0" distL="0" distR="0" simplePos="0" locked="0" layoutInCell="1" allowOverlap="1" relativeHeight="6">
                <wp:simplePos x="0" y="0"/>
                <wp:positionH relativeFrom="column">
                  <wp:posOffset>0</wp:posOffset>
                </wp:positionH>
                <wp:positionV relativeFrom="paragraph">
                  <wp:posOffset>-635</wp:posOffset>
                </wp:positionV>
                <wp:extent cx="6117590" cy="304165"/>
                <wp:effectExtent l="0" t="0" r="0" b="0"/>
                <wp:wrapNone/>
                <wp:docPr id="9" name="Πλαίσιο3"/>
                <a:graphic xmlns:a="http://schemas.openxmlformats.org/drawingml/2006/main">
                  <a:graphicData uri="http://schemas.microsoft.com/office/word/2010/wordprocessingShape">
                    <wps:wsp>
                      <wps:cNvSpPr/>
                      <wps:spPr>
                        <a:xfrm>
                          <a:off x="0" y="0"/>
                          <a:ext cx="6117120" cy="303480"/>
                        </a:xfrm>
                        <a:prstGeom prst="rect">
                          <a:avLst/>
                        </a:prstGeom>
                        <a:noFill/>
                        <a:ln>
                          <a:noFill/>
                        </a:ln>
                      </wps:spPr>
                      <wps:style>
                        <a:lnRef idx="0"/>
                        <a:fillRef idx="0"/>
                        <a:effectRef idx="0"/>
                        <a:fontRef idx="minor"/>
                      </wps:style>
                      <wps:txbx>
                        <w:txbxContent>
                          <w:p>
                            <w:pPr>
                              <w:pStyle w:val="Normal"/>
                              <w:spacing w:before="20" w:after="240"/>
                              <w:ind w:left="3350" w:right="3428" w:hanging="0"/>
                              <w:jc w:val="center"/>
                              <w:rPr/>
                            </w:pPr>
                            <w:r>
                              <w:rPr>
                                <w:rFonts w:cs="Tahoma" w:ascii="Tahoma" w:hAnsi="Tahoma"/>
                                <w:b/>
                                <w:color w:val="000000"/>
                              </w:rPr>
                              <w:t>Τ</w:t>
                            </w:r>
                            <w:r>
                              <w:rPr>
                                <w:rFonts w:cs="Tahoma" w:ascii="Tahoma" w:hAnsi="Tahoma"/>
                                <w:b/>
                                <w:color w:val="000000"/>
                                <w:spacing w:val="-3"/>
                              </w:rPr>
                              <w:t xml:space="preserve"> </w:t>
                            </w:r>
                            <w:r>
                              <w:rPr>
                                <w:rFonts w:cs="Tahoma" w:ascii="Tahoma" w:hAnsi="Tahoma"/>
                                <w:b/>
                                <w:color w:val="000000"/>
                              </w:rPr>
                              <w:t>=</w:t>
                            </w:r>
                            <w:r>
                              <w:rPr>
                                <w:rFonts w:cs="Tahoma" w:ascii="Tahoma" w:hAnsi="Tahoma"/>
                                <w:b/>
                                <w:color w:val="000000"/>
                                <w:spacing w:val="-2"/>
                              </w:rPr>
                              <w:t xml:space="preserve"> </w:t>
                            </w:r>
                            <w:r>
                              <w:rPr>
                                <w:rFonts w:cs="Tahoma" w:ascii="Tahoma" w:hAnsi="Tahoma"/>
                                <w:b/>
                                <w:color w:val="000000"/>
                              </w:rPr>
                              <w:t>Τπροσφοράς</w:t>
                            </w:r>
                            <w:r>
                              <w:rPr>
                                <w:rFonts w:cs="Tahoma" w:ascii="Tahoma" w:hAnsi="Tahoma"/>
                                <w:b/>
                                <w:color w:val="000000"/>
                                <w:spacing w:val="-2"/>
                              </w:rPr>
                              <w:t xml:space="preserve"> </w:t>
                            </w:r>
                            <w:r>
                              <w:rPr>
                                <w:rFonts w:cs="Tahoma" w:ascii="Tahoma" w:hAnsi="Tahoma"/>
                                <w:b/>
                                <w:color w:val="000000"/>
                              </w:rPr>
                              <w:t>Χ</w:t>
                            </w:r>
                            <w:r>
                              <w:rPr>
                                <w:rFonts w:cs="Tahoma" w:ascii="Tahoma" w:hAnsi="Tahoma"/>
                                <w:b/>
                                <w:color w:val="000000"/>
                                <w:spacing w:val="-2"/>
                              </w:rPr>
                              <w:t xml:space="preserve"> </w:t>
                            </w:r>
                            <w:r>
                              <w:rPr>
                                <w:rFonts w:cs="Tahoma" w:ascii="Tahoma" w:hAnsi="Tahoma"/>
                                <w:b/>
                                <w:color w:val="000000"/>
                              </w:rPr>
                              <w:t>(1+α)</w:t>
                            </w:r>
                          </w:p>
                        </w:txbxContent>
                      </wps:txbx>
                      <wps:bodyPr lIns="0" rIns="0" tIns="0" bIns="0">
                        <a:noAutofit/>
                      </wps:bodyPr>
                    </wps:wsp>
                  </a:graphicData>
                </a:graphic>
              </wp:anchor>
            </w:drawing>
          </mc:Choice>
          <mc:Fallback>
            <w:pict>
              <v:rect id="shape_0" ID="Πλαίσιο3" stroked="f" style="position:absolute;margin-left:0pt;margin-top:-0.05pt;width:481.6pt;height:23.85pt">
                <w10:wrap type="square"/>
                <v:fill o:detectmouseclick="t" on="false"/>
                <v:stroke color="#3465a4" joinstyle="round" endcap="flat"/>
                <v:textbox>
                  <w:txbxContent>
                    <w:p>
                      <w:pPr>
                        <w:pStyle w:val="Normal"/>
                        <w:spacing w:before="20" w:after="240"/>
                        <w:ind w:left="3350" w:right="3428" w:hanging="0"/>
                        <w:jc w:val="center"/>
                        <w:rPr/>
                      </w:pPr>
                      <w:r>
                        <w:rPr>
                          <w:rFonts w:cs="Tahoma" w:ascii="Tahoma" w:hAnsi="Tahoma"/>
                          <w:b/>
                          <w:color w:val="000000"/>
                        </w:rPr>
                        <w:t>Τ</w:t>
                      </w:r>
                      <w:r>
                        <w:rPr>
                          <w:rFonts w:cs="Tahoma" w:ascii="Tahoma" w:hAnsi="Tahoma"/>
                          <w:b/>
                          <w:color w:val="000000"/>
                          <w:spacing w:val="-3"/>
                        </w:rPr>
                        <w:t xml:space="preserve"> </w:t>
                      </w:r>
                      <w:r>
                        <w:rPr>
                          <w:rFonts w:cs="Tahoma" w:ascii="Tahoma" w:hAnsi="Tahoma"/>
                          <w:b/>
                          <w:color w:val="000000"/>
                        </w:rPr>
                        <w:t>=</w:t>
                      </w:r>
                      <w:r>
                        <w:rPr>
                          <w:rFonts w:cs="Tahoma" w:ascii="Tahoma" w:hAnsi="Tahoma"/>
                          <w:b/>
                          <w:color w:val="000000"/>
                          <w:spacing w:val="-2"/>
                        </w:rPr>
                        <w:t xml:space="preserve"> </w:t>
                      </w:r>
                      <w:r>
                        <w:rPr>
                          <w:rFonts w:cs="Tahoma" w:ascii="Tahoma" w:hAnsi="Tahoma"/>
                          <w:b/>
                          <w:color w:val="000000"/>
                        </w:rPr>
                        <w:t>Τπροσφοράς</w:t>
                      </w:r>
                      <w:r>
                        <w:rPr>
                          <w:rFonts w:cs="Tahoma" w:ascii="Tahoma" w:hAnsi="Tahoma"/>
                          <w:b/>
                          <w:color w:val="000000"/>
                          <w:spacing w:val="-2"/>
                        </w:rPr>
                        <w:t xml:space="preserve"> </w:t>
                      </w:r>
                      <w:r>
                        <w:rPr>
                          <w:rFonts w:cs="Tahoma" w:ascii="Tahoma" w:hAnsi="Tahoma"/>
                          <w:b/>
                          <w:color w:val="000000"/>
                        </w:rPr>
                        <w:t>Χ</w:t>
                      </w:r>
                      <w:r>
                        <w:rPr>
                          <w:rFonts w:cs="Tahoma" w:ascii="Tahoma" w:hAnsi="Tahoma"/>
                          <w:b/>
                          <w:color w:val="000000"/>
                          <w:spacing w:val="-2"/>
                        </w:rPr>
                        <w:t xml:space="preserve"> </w:t>
                      </w:r>
                      <w:r>
                        <w:rPr>
                          <w:rFonts w:cs="Tahoma" w:ascii="Tahoma" w:hAnsi="Tahoma"/>
                          <w:b/>
                          <w:color w:val="000000"/>
                        </w:rPr>
                        <w:t>(1+α)</w:t>
                      </w:r>
                    </w:p>
                  </w:txbxContent>
                </v:textbox>
              </v:rect>
            </w:pict>
          </mc:Fallback>
        </mc:AlternateContent>
      </w:r>
    </w:p>
    <w:p>
      <w:pPr>
        <w:pStyle w:val="Style19"/>
        <w:spacing w:lineRule="auto" w:line="276" w:before="100" w:after="240"/>
        <w:rPr>
          <w:rFonts w:cs="Tahoma"/>
          <w:sz w:val="24"/>
          <w:lang w:val="el-GR"/>
        </w:rPr>
      </w:pPr>
      <w:r>
        <w:rPr>
          <w:rFonts w:cs="Tahoma"/>
          <w:sz w:val="24"/>
          <w:lang w:val="el-GR"/>
        </w:rPr>
        <w:t>Όπου</w:t>
      </w:r>
    </w:p>
    <w:p>
      <w:pPr>
        <w:pStyle w:val="Style19"/>
        <w:spacing w:lineRule="auto" w:line="276" w:before="132" w:after="240"/>
        <w:ind w:left="0" w:right="57" w:hanging="0"/>
        <w:rPr/>
      </w:pPr>
      <w:r>
        <w:rPr>
          <w:rFonts w:cs="Tahoma"/>
          <w:b/>
          <w:sz w:val="24"/>
          <w:lang w:val="el-GR"/>
        </w:rPr>
        <w:t>α:</w:t>
      </w:r>
      <w:r>
        <w:rPr>
          <w:rFonts w:cs="Tahoma"/>
          <w:b/>
          <w:spacing w:val="11"/>
          <w:sz w:val="24"/>
          <w:lang w:val="el-GR"/>
        </w:rPr>
        <w:t xml:space="preserve"> </w:t>
      </w:r>
      <w:r>
        <w:rPr>
          <w:rFonts w:cs="Tahoma"/>
          <w:sz w:val="24"/>
          <w:lang w:val="el-GR"/>
        </w:rPr>
        <w:t>το</w:t>
      </w:r>
      <w:r>
        <w:rPr>
          <w:rFonts w:cs="Tahoma"/>
          <w:spacing w:val="8"/>
          <w:sz w:val="24"/>
          <w:lang w:val="el-GR"/>
        </w:rPr>
        <w:t xml:space="preserve"> </w:t>
      </w:r>
      <w:r>
        <w:rPr>
          <w:rFonts w:cs="Tahoma"/>
          <w:sz w:val="24"/>
          <w:lang w:val="el-GR"/>
        </w:rPr>
        <w:t>ποσοστό</w:t>
      </w:r>
      <w:r>
        <w:rPr>
          <w:rFonts w:cs="Tahoma"/>
          <w:spacing w:val="8"/>
          <w:sz w:val="24"/>
          <w:lang w:val="el-GR"/>
        </w:rPr>
        <w:t xml:space="preserve"> </w:t>
      </w:r>
      <w:r>
        <w:rPr>
          <w:rFonts w:cs="Tahoma"/>
          <w:sz w:val="24"/>
          <w:lang w:val="el-GR"/>
        </w:rPr>
        <w:t>αύξησης</w:t>
      </w:r>
      <w:r>
        <w:rPr>
          <w:rFonts w:cs="Tahoma"/>
          <w:spacing w:val="7"/>
          <w:sz w:val="24"/>
          <w:lang w:val="el-GR"/>
        </w:rPr>
        <w:t xml:space="preserve"> </w:t>
      </w:r>
      <w:r>
        <w:rPr>
          <w:rFonts w:cs="Tahoma"/>
          <w:sz w:val="24"/>
          <w:lang w:val="el-GR"/>
        </w:rPr>
        <w:t>του</w:t>
      </w:r>
      <w:r>
        <w:rPr>
          <w:rFonts w:cs="Tahoma"/>
          <w:spacing w:val="8"/>
          <w:sz w:val="24"/>
          <w:lang w:val="el-GR"/>
        </w:rPr>
        <w:t xml:space="preserve"> </w:t>
      </w:r>
      <w:r>
        <w:rPr>
          <w:rFonts w:cs="Tahoma"/>
          <w:sz w:val="24"/>
          <w:lang w:val="el-GR"/>
        </w:rPr>
        <w:t>κατώτατου</w:t>
      </w:r>
      <w:r>
        <w:rPr>
          <w:rFonts w:cs="Tahoma"/>
          <w:spacing w:val="8"/>
          <w:sz w:val="24"/>
          <w:lang w:val="el-GR"/>
        </w:rPr>
        <w:t xml:space="preserve"> </w:t>
      </w:r>
      <w:r>
        <w:rPr>
          <w:rFonts w:cs="Tahoma"/>
          <w:sz w:val="24"/>
          <w:lang w:val="el-GR"/>
        </w:rPr>
        <w:t>μισθού</w:t>
      </w:r>
      <w:r>
        <w:rPr>
          <w:rFonts w:cs="Tahoma"/>
          <w:spacing w:val="8"/>
          <w:sz w:val="24"/>
          <w:lang w:val="el-GR"/>
        </w:rPr>
        <w:t xml:space="preserve"> </w:t>
      </w:r>
      <w:r>
        <w:rPr>
          <w:rFonts w:cs="Tahoma"/>
          <w:sz w:val="24"/>
          <w:lang w:val="el-GR"/>
        </w:rPr>
        <w:t>εργαζόμενου</w:t>
      </w:r>
      <w:r>
        <w:rPr>
          <w:rFonts w:cs="Tahoma"/>
          <w:spacing w:val="7"/>
          <w:sz w:val="24"/>
          <w:lang w:val="el-GR"/>
        </w:rPr>
        <w:t xml:space="preserve"> </w:t>
      </w:r>
      <w:r>
        <w:rPr>
          <w:rFonts w:cs="Tahoma"/>
          <w:sz w:val="24"/>
          <w:lang w:val="el-GR"/>
        </w:rPr>
        <w:t>σε</w:t>
      </w:r>
      <w:r>
        <w:rPr>
          <w:rFonts w:cs="Tahoma"/>
          <w:spacing w:val="8"/>
          <w:sz w:val="24"/>
          <w:lang w:val="el-GR"/>
        </w:rPr>
        <w:t xml:space="preserve"> </w:t>
      </w:r>
      <w:r>
        <w:rPr>
          <w:rFonts w:cs="Tahoma"/>
          <w:sz w:val="24"/>
          <w:lang w:val="el-GR"/>
        </w:rPr>
        <w:t>σχέση</w:t>
      </w:r>
      <w:r>
        <w:rPr>
          <w:rFonts w:cs="Tahoma"/>
          <w:spacing w:val="8"/>
          <w:sz w:val="24"/>
          <w:lang w:val="el-GR"/>
        </w:rPr>
        <w:t xml:space="preserve"> </w:t>
      </w:r>
      <w:r>
        <w:rPr>
          <w:rFonts w:cs="Tahoma"/>
          <w:sz w:val="24"/>
          <w:lang w:val="el-GR"/>
        </w:rPr>
        <w:t>με</w:t>
      </w:r>
      <w:r>
        <w:rPr>
          <w:rFonts w:cs="Tahoma"/>
          <w:spacing w:val="8"/>
          <w:sz w:val="24"/>
          <w:lang w:val="el-GR"/>
        </w:rPr>
        <w:t xml:space="preserve"> </w:t>
      </w:r>
      <w:r>
        <w:rPr>
          <w:rFonts w:cs="Tahoma"/>
          <w:sz w:val="24"/>
          <w:lang w:val="el-GR"/>
        </w:rPr>
        <w:t>αυτόν</w:t>
      </w:r>
      <w:r>
        <w:rPr>
          <w:rFonts w:cs="Tahoma"/>
          <w:spacing w:val="7"/>
          <w:sz w:val="24"/>
          <w:lang w:val="el-GR"/>
        </w:rPr>
        <w:t xml:space="preserve"> </w:t>
      </w:r>
      <w:r>
        <w:rPr>
          <w:rFonts w:cs="Tahoma"/>
          <w:sz w:val="24"/>
          <w:lang w:val="el-GR"/>
        </w:rPr>
        <w:t>που</w:t>
      </w:r>
      <w:r>
        <w:rPr>
          <w:rFonts w:cs="Tahoma"/>
          <w:spacing w:val="8"/>
          <w:sz w:val="24"/>
          <w:lang w:val="el-GR"/>
        </w:rPr>
        <w:t xml:space="preserve"> </w:t>
      </w:r>
      <w:r>
        <w:rPr>
          <w:rFonts w:cs="Tahoma"/>
          <w:sz w:val="24"/>
          <w:lang w:val="el-GR"/>
        </w:rPr>
        <w:t>ίσχυε</w:t>
      </w:r>
      <w:r>
        <w:rPr>
          <w:rFonts w:cs="Tahoma"/>
          <w:spacing w:val="8"/>
          <w:sz w:val="24"/>
          <w:lang w:val="el-GR"/>
        </w:rPr>
        <w:t xml:space="preserve"> </w:t>
      </w:r>
      <w:r>
        <w:rPr>
          <w:rFonts w:cs="Tahoma"/>
          <w:sz w:val="24"/>
          <w:lang w:val="el-GR"/>
        </w:rPr>
        <w:t>κατά</w:t>
      </w:r>
      <w:r>
        <w:rPr>
          <w:rFonts w:cs="Tahoma"/>
          <w:spacing w:val="-66"/>
          <w:sz w:val="24"/>
          <w:lang w:val="el-GR"/>
        </w:rPr>
        <w:t xml:space="preserve">   </w:t>
      </w:r>
      <w:r>
        <w:rPr>
          <w:rFonts w:cs="Tahoma"/>
          <w:sz w:val="24"/>
          <w:lang w:val="el-GR"/>
        </w:rPr>
        <w:t>την</w:t>
      </w:r>
      <w:r>
        <w:rPr>
          <w:rFonts w:cs="Tahoma"/>
          <w:spacing w:val="-1"/>
          <w:sz w:val="24"/>
          <w:lang w:val="el-GR"/>
        </w:rPr>
        <w:t xml:space="preserve"> </w:t>
      </w:r>
      <w:r>
        <w:rPr>
          <w:rFonts w:cs="Tahoma"/>
          <w:sz w:val="24"/>
          <w:lang w:val="el-GR"/>
        </w:rPr>
        <w:t>καταληκτική</w:t>
      </w:r>
      <w:r>
        <w:rPr>
          <w:rFonts w:cs="Tahoma"/>
          <w:spacing w:val="-1"/>
          <w:sz w:val="24"/>
          <w:lang w:val="el-GR"/>
        </w:rPr>
        <w:t xml:space="preserve"> </w:t>
      </w:r>
      <w:r>
        <w:rPr>
          <w:rFonts w:cs="Tahoma"/>
          <w:sz w:val="24"/>
          <w:lang w:val="el-GR"/>
        </w:rPr>
        <w:t>ημερομηνία</w:t>
      </w:r>
      <w:r>
        <w:rPr>
          <w:rFonts w:cs="Tahoma"/>
          <w:spacing w:val="-2"/>
          <w:sz w:val="24"/>
          <w:lang w:val="el-GR"/>
        </w:rPr>
        <w:t xml:space="preserve"> </w:t>
      </w:r>
      <w:r>
        <w:rPr>
          <w:rFonts w:cs="Tahoma"/>
          <w:sz w:val="24"/>
          <w:lang w:val="el-GR"/>
        </w:rPr>
        <w:t>υποβολής των προσφορών,</w:t>
      </w:r>
    </w:p>
    <w:p>
      <w:pPr>
        <w:pStyle w:val="Style19"/>
        <w:spacing w:lineRule="auto" w:line="276"/>
        <w:ind w:left="0" w:right="57" w:hanging="0"/>
        <w:rPr/>
      </w:pPr>
      <w:r>
        <w:rPr>
          <w:rFonts w:cs="Tahoma"/>
          <w:b/>
          <w:sz w:val="24"/>
          <w:lang w:val="el-GR"/>
        </w:rPr>
        <w:t>Τ_ προσφοράς</w:t>
      </w:r>
      <w:r>
        <w:rPr>
          <w:rFonts w:cs="Tahoma"/>
          <w:sz w:val="24"/>
          <w:lang w:val="el-GR"/>
        </w:rPr>
        <w:t>:</w:t>
      </w:r>
      <w:r>
        <w:rPr>
          <w:rFonts w:cs="Tahoma"/>
          <w:spacing w:val="25"/>
          <w:sz w:val="24"/>
          <w:lang w:val="el-GR"/>
        </w:rPr>
        <w:t xml:space="preserve"> </w:t>
      </w:r>
      <w:r>
        <w:rPr>
          <w:rFonts w:cs="Tahoma"/>
          <w:sz w:val="24"/>
          <w:lang w:val="el-GR"/>
        </w:rPr>
        <w:t>η</w:t>
      </w:r>
      <w:r>
        <w:rPr>
          <w:rFonts w:cs="Tahoma"/>
          <w:spacing w:val="25"/>
          <w:sz w:val="24"/>
          <w:lang w:val="el-GR"/>
        </w:rPr>
        <w:t xml:space="preserve"> </w:t>
      </w:r>
      <w:r>
        <w:rPr>
          <w:rFonts w:cs="Tahoma"/>
          <w:sz w:val="24"/>
          <w:lang w:val="el-GR"/>
        </w:rPr>
        <w:t>τιμή</w:t>
      </w:r>
      <w:r>
        <w:rPr>
          <w:rFonts w:cs="Tahoma"/>
          <w:spacing w:val="25"/>
          <w:sz w:val="24"/>
          <w:lang w:val="el-GR"/>
        </w:rPr>
        <w:t xml:space="preserve"> </w:t>
      </w:r>
      <w:r>
        <w:rPr>
          <w:rFonts w:cs="Tahoma"/>
          <w:sz w:val="24"/>
          <w:lang w:val="el-GR"/>
        </w:rPr>
        <w:t>της</w:t>
      </w:r>
      <w:r>
        <w:rPr>
          <w:rFonts w:cs="Tahoma"/>
          <w:spacing w:val="25"/>
          <w:sz w:val="24"/>
          <w:lang w:val="el-GR"/>
        </w:rPr>
        <w:t xml:space="preserve"> </w:t>
      </w:r>
      <w:r>
        <w:rPr>
          <w:rFonts w:cs="Tahoma"/>
          <w:sz w:val="24"/>
          <w:lang w:val="el-GR"/>
        </w:rPr>
        <w:t>οικονομικής</w:t>
      </w:r>
      <w:r>
        <w:rPr>
          <w:rFonts w:cs="Tahoma"/>
          <w:spacing w:val="25"/>
          <w:sz w:val="24"/>
          <w:lang w:val="el-GR"/>
        </w:rPr>
        <w:t xml:space="preserve"> </w:t>
      </w:r>
      <w:r>
        <w:rPr>
          <w:rFonts w:cs="Tahoma"/>
          <w:sz w:val="24"/>
          <w:lang w:val="el-GR"/>
        </w:rPr>
        <w:t>προσφοράς</w:t>
      </w:r>
      <w:r>
        <w:rPr>
          <w:rFonts w:cs="Tahoma"/>
          <w:spacing w:val="25"/>
          <w:sz w:val="24"/>
          <w:lang w:val="el-GR"/>
        </w:rPr>
        <w:t xml:space="preserve"> </w:t>
      </w:r>
      <w:r>
        <w:rPr>
          <w:rFonts w:cs="Tahoma"/>
          <w:sz w:val="24"/>
          <w:lang w:val="el-GR"/>
        </w:rPr>
        <w:t>του</w:t>
      </w:r>
      <w:r>
        <w:rPr>
          <w:rFonts w:cs="Tahoma"/>
          <w:spacing w:val="25"/>
          <w:sz w:val="24"/>
          <w:lang w:val="el-GR"/>
        </w:rPr>
        <w:t xml:space="preserve"> </w:t>
      </w:r>
      <w:r>
        <w:rPr>
          <w:rFonts w:cs="Tahoma"/>
          <w:sz w:val="24"/>
          <w:lang w:val="el-GR"/>
        </w:rPr>
        <w:t>οικονομικού</w:t>
      </w:r>
      <w:r>
        <w:rPr>
          <w:rFonts w:cs="Tahoma"/>
          <w:spacing w:val="25"/>
          <w:sz w:val="24"/>
          <w:lang w:val="el-GR"/>
        </w:rPr>
        <w:t xml:space="preserve"> </w:t>
      </w:r>
      <w:r>
        <w:rPr>
          <w:rFonts w:cs="Tahoma"/>
          <w:sz w:val="24"/>
          <w:lang w:val="el-GR"/>
        </w:rPr>
        <w:t>φορέα</w:t>
      </w:r>
      <w:r>
        <w:rPr>
          <w:rFonts w:cs="Tahoma"/>
          <w:spacing w:val="25"/>
          <w:sz w:val="24"/>
          <w:lang w:val="el-GR"/>
        </w:rPr>
        <w:t xml:space="preserve"> </w:t>
      </w:r>
      <w:r>
        <w:rPr>
          <w:rFonts w:cs="Tahoma"/>
          <w:sz w:val="24"/>
          <w:lang w:val="el-GR"/>
        </w:rPr>
        <w:t>στον</w:t>
      </w:r>
      <w:r>
        <w:rPr>
          <w:rFonts w:cs="Tahoma"/>
          <w:spacing w:val="25"/>
          <w:sz w:val="24"/>
          <w:lang w:val="el-GR"/>
        </w:rPr>
        <w:t xml:space="preserve"> </w:t>
      </w:r>
      <w:r>
        <w:rPr>
          <w:rFonts w:cs="Tahoma"/>
          <w:sz w:val="24"/>
          <w:lang w:val="el-GR"/>
        </w:rPr>
        <w:t>οποίο</w:t>
      </w:r>
      <w:r>
        <w:rPr>
          <w:rFonts w:cs="Tahoma"/>
          <w:spacing w:val="-66"/>
          <w:sz w:val="24"/>
          <w:lang w:val="el-GR"/>
        </w:rPr>
        <w:t xml:space="preserve">   </w:t>
      </w:r>
      <w:r>
        <w:rPr>
          <w:rFonts w:cs="Tahoma"/>
          <w:sz w:val="24"/>
          <w:lang w:val="el-GR"/>
        </w:rPr>
        <w:t>ανατίθεται</w:t>
      </w:r>
      <w:r>
        <w:rPr>
          <w:rFonts w:cs="Tahoma"/>
          <w:spacing w:val="-2"/>
          <w:sz w:val="24"/>
          <w:lang w:val="el-GR"/>
        </w:rPr>
        <w:t xml:space="preserve"> </w:t>
      </w:r>
      <w:r>
        <w:rPr>
          <w:rFonts w:cs="Tahoma"/>
          <w:sz w:val="24"/>
          <w:lang w:val="el-GR"/>
        </w:rPr>
        <w:t>η</w:t>
      </w:r>
      <w:r>
        <w:rPr>
          <w:rFonts w:cs="Tahoma"/>
          <w:spacing w:val="-1"/>
          <w:sz w:val="24"/>
          <w:lang w:val="el-GR"/>
        </w:rPr>
        <w:t xml:space="preserve"> </w:t>
      </w:r>
      <w:r>
        <w:rPr>
          <w:rFonts w:cs="Tahoma"/>
          <w:sz w:val="24"/>
          <w:lang w:val="el-GR"/>
        </w:rPr>
        <w:t>σύμβαση και</w:t>
      </w:r>
    </w:p>
    <w:p>
      <w:pPr>
        <w:pStyle w:val="Style19"/>
        <w:spacing w:lineRule="auto" w:line="276"/>
        <w:rPr/>
      </w:pPr>
      <w:r>
        <w:rPr>
          <w:rFonts w:cs="Tahoma"/>
          <w:b/>
          <w:sz w:val="24"/>
          <w:lang w:val="el-GR"/>
        </w:rPr>
        <w:t>Τ:</w:t>
      </w:r>
      <w:r>
        <w:rPr>
          <w:rFonts w:cs="Tahoma"/>
          <w:b/>
          <w:spacing w:val="3"/>
          <w:sz w:val="24"/>
          <w:lang w:val="el-GR"/>
        </w:rPr>
        <w:t xml:space="preserve"> </w:t>
      </w:r>
      <w:r>
        <w:rPr>
          <w:rFonts w:cs="Tahoma"/>
          <w:sz w:val="24"/>
          <w:lang w:val="el-GR"/>
        </w:rPr>
        <w:t>η</w:t>
      </w:r>
      <w:r>
        <w:rPr>
          <w:rFonts w:cs="Tahoma"/>
          <w:spacing w:val="-2"/>
          <w:sz w:val="24"/>
          <w:lang w:val="el-GR"/>
        </w:rPr>
        <w:t xml:space="preserve"> </w:t>
      </w:r>
      <w:r>
        <w:rPr>
          <w:rFonts w:cs="Tahoma"/>
          <w:sz w:val="24"/>
          <w:lang w:val="el-GR"/>
        </w:rPr>
        <w:t>αναπροσαρμοσμένη</w:t>
      </w:r>
      <w:r>
        <w:rPr>
          <w:rFonts w:cs="Tahoma"/>
          <w:spacing w:val="-2"/>
          <w:sz w:val="24"/>
          <w:lang w:val="el-GR"/>
        </w:rPr>
        <w:t xml:space="preserve"> </w:t>
      </w:r>
      <w:r>
        <w:rPr>
          <w:rFonts w:cs="Tahoma"/>
          <w:sz w:val="24"/>
          <w:lang w:val="el-GR"/>
        </w:rPr>
        <w:t>τιμή.</w:t>
      </w:r>
    </w:p>
    <w:p>
      <w:pPr>
        <w:pStyle w:val="Normal"/>
        <w:spacing w:lineRule="auto" w:line="276" w:before="0" w:after="0"/>
        <w:rPr/>
      </w:pPr>
      <w:r>
        <w:rPr>
          <w:rFonts w:cs="Tahoma"/>
          <w:i/>
          <w:sz w:val="24"/>
          <w:u w:val="single"/>
          <w:lang w:val="el-GR"/>
        </w:rPr>
        <w:t>Η</w:t>
      </w:r>
      <w:r>
        <w:rPr>
          <w:rFonts w:cs="Tahoma"/>
          <w:i/>
          <w:spacing w:val="16"/>
          <w:sz w:val="24"/>
          <w:u w:val="single"/>
          <w:lang w:val="el-GR"/>
        </w:rPr>
        <w:t xml:space="preserve"> </w:t>
      </w:r>
      <w:r>
        <w:rPr>
          <w:rFonts w:cs="Tahoma"/>
          <w:i/>
          <w:sz w:val="24"/>
          <w:u w:val="single"/>
          <w:lang w:val="el-GR"/>
        </w:rPr>
        <w:t>αναπροσαρμογή</w:t>
      </w:r>
      <w:r>
        <w:rPr>
          <w:rFonts w:cs="Tahoma"/>
          <w:i/>
          <w:spacing w:val="16"/>
          <w:sz w:val="24"/>
          <w:u w:val="single"/>
          <w:lang w:val="el-GR"/>
        </w:rPr>
        <w:t xml:space="preserve"> </w:t>
      </w:r>
      <w:r>
        <w:rPr>
          <w:rFonts w:cs="Tahoma"/>
          <w:i/>
          <w:sz w:val="24"/>
          <w:u w:val="single"/>
          <w:lang w:val="el-GR"/>
        </w:rPr>
        <w:t>της</w:t>
      </w:r>
      <w:r>
        <w:rPr>
          <w:rFonts w:cs="Tahoma"/>
          <w:i/>
          <w:spacing w:val="17"/>
          <w:sz w:val="24"/>
          <w:u w:val="single"/>
          <w:lang w:val="el-GR"/>
        </w:rPr>
        <w:t xml:space="preserve"> </w:t>
      </w:r>
      <w:r>
        <w:rPr>
          <w:rFonts w:cs="Tahoma"/>
          <w:i/>
          <w:sz w:val="24"/>
          <w:u w:val="single"/>
          <w:lang w:val="el-GR"/>
        </w:rPr>
        <w:t>τιμής</w:t>
      </w:r>
      <w:r>
        <w:rPr>
          <w:rFonts w:cs="Tahoma"/>
          <w:i/>
          <w:spacing w:val="16"/>
          <w:sz w:val="24"/>
          <w:u w:val="single"/>
          <w:lang w:val="el-GR"/>
        </w:rPr>
        <w:t xml:space="preserve"> </w:t>
      </w:r>
      <w:r>
        <w:rPr>
          <w:rFonts w:cs="Tahoma"/>
          <w:i/>
          <w:sz w:val="24"/>
          <w:u w:val="single"/>
          <w:lang w:val="el-GR"/>
        </w:rPr>
        <w:t>εφαρμόζεται</w:t>
      </w:r>
      <w:r>
        <w:rPr>
          <w:rFonts w:cs="Tahoma"/>
          <w:i/>
          <w:spacing w:val="16"/>
          <w:sz w:val="24"/>
          <w:u w:val="single"/>
          <w:lang w:val="el-GR"/>
        </w:rPr>
        <w:t xml:space="preserve"> </w:t>
      </w:r>
      <w:r>
        <w:rPr>
          <w:rFonts w:cs="Tahoma"/>
          <w:i/>
          <w:sz w:val="24"/>
          <w:u w:val="single"/>
          <w:lang w:val="el-GR"/>
        </w:rPr>
        <w:t>μόνο</w:t>
      </w:r>
      <w:r>
        <w:rPr>
          <w:rFonts w:cs="Tahoma"/>
          <w:i/>
          <w:spacing w:val="17"/>
          <w:sz w:val="24"/>
          <w:u w:val="single"/>
          <w:lang w:val="el-GR"/>
        </w:rPr>
        <w:t xml:space="preserve"> </w:t>
      </w:r>
      <w:r>
        <w:rPr>
          <w:rFonts w:cs="Tahoma"/>
          <w:i/>
          <w:sz w:val="24"/>
          <w:u w:val="single"/>
          <w:lang w:val="el-GR"/>
        </w:rPr>
        <w:t>αν</w:t>
      </w:r>
      <w:r>
        <w:rPr>
          <w:rFonts w:cs="Tahoma"/>
          <w:i/>
          <w:spacing w:val="16"/>
          <w:sz w:val="24"/>
          <w:u w:val="single"/>
          <w:lang w:val="el-GR"/>
        </w:rPr>
        <w:t xml:space="preserve"> </w:t>
      </w:r>
      <w:r>
        <w:rPr>
          <w:rFonts w:cs="Tahoma"/>
          <w:i/>
          <w:sz w:val="24"/>
          <w:u w:val="single"/>
          <w:lang w:val="el-GR"/>
        </w:rPr>
        <w:t>η</w:t>
      </w:r>
      <w:r>
        <w:rPr>
          <w:rFonts w:cs="Tahoma"/>
          <w:i/>
          <w:spacing w:val="17"/>
          <w:sz w:val="24"/>
          <w:u w:val="single"/>
          <w:lang w:val="el-GR"/>
        </w:rPr>
        <w:t xml:space="preserve"> </w:t>
      </w:r>
      <w:r>
        <w:rPr>
          <w:rFonts w:cs="Tahoma"/>
          <w:i/>
          <w:sz w:val="24"/>
          <w:u w:val="single"/>
          <w:lang w:val="el-GR"/>
        </w:rPr>
        <w:t>αναθέτουσα</w:t>
      </w:r>
      <w:r>
        <w:rPr>
          <w:rFonts w:cs="Tahoma"/>
          <w:i/>
          <w:spacing w:val="16"/>
          <w:sz w:val="24"/>
          <w:u w:val="single"/>
          <w:lang w:val="el-GR"/>
        </w:rPr>
        <w:t xml:space="preserve"> </w:t>
      </w:r>
      <w:r>
        <w:rPr>
          <w:rFonts w:cs="Tahoma"/>
          <w:i/>
          <w:sz w:val="24"/>
          <w:u w:val="single"/>
          <w:lang w:val="el-GR"/>
        </w:rPr>
        <w:t>αρχή</w:t>
      </w:r>
      <w:r>
        <w:rPr>
          <w:rFonts w:cs="Tahoma"/>
          <w:i/>
          <w:spacing w:val="16"/>
          <w:sz w:val="24"/>
          <w:u w:val="single"/>
          <w:lang w:val="el-GR"/>
        </w:rPr>
        <w:t xml:space="preserve"> </w:t>
      </w:r>
      <w:r>
        <w:rPr>
          <w:rFonts w:cs="Tahoma"/>
          <w:i/>
          <w:sz w:val="24"/>
          <w:u w:val="single"/>
          <w:lang w:val="el-GR"/>
        </w:rPr>
        <w:t>διαθέτει</w:t>
      </w:r>
      <w:r>
        <w:rPr>
          <w:rFonts w:cs="Tahoma"/>
          <w:i/>
          <w:spacing w:val="17"/>
          <w:sz w:val="24"/>
          <w:u w:val="single"/>
          <w:lang w:val="el-GR"/>
        </w:rPr>
        <w:t xml:space="preserve"> </w:t>
      </w:r>
      <w:r>
        <w:rPr>
          <w:rFonts w:cs="Tahoma"/>
          <w:i/>
          <w:sz w:val="24"/>
          <w:u w:val="single"/>
          <w:lang w:val="el-GR"/>
        </w:rPr>
        <w:t>τις</w:t>
      </w:r>
      <w:r>
        <w:rPr>
          <w:rFonts w:cs="Tahoma"/>
          <w:i/>
          <w:spacing w:val="16"/>
          <w:sz w:val="24"/>
          <w:u w:val="single"/>
          <w:lang w:val="el-GR"/>
        </w:rPr>
        <w:t xml:space="preserve"> </w:t>
      </w:r>
      <w:r>
        <w:rPr>
          <w:rFonts w:cs="Tahoma"/>
          <w:i/>
          <w:sz w:val="24"/>
          <w:u w:val="single"/>
          <w:lang w:val="el-GR"/>
        </w:rPr>
        <w:t>απαραίτητες</w:t>
      </w:r>
      <w:r>
        <w:rPr>
          <w:rFonts w:cs="Tahoma"/>
          <w:i/>
          <w:spacing w:val="-66"/>
          <w:sz w:val="24"/>
          <w:u w:val="single"/>
          <w:lang w:val="el-GR"/>
        </w:rPr>
        <w:t xml:space="preserve">  </w:t>
      </w:r>
      <w:r>
        <w:rPr>
          <w:rFonts w:cs="Tahoma"/>
          <w:i/>
          <w:sz w:val="24"/>
          <w:u w:val="single"/>
          <w:lang w:val="el-GR"/>
        </w:rPr>
        <w:t>πιστώσεις</w:t>
      </w:r>
      <w:r>
        <w:rPr>
          <w:rFonts w:cs="Tahoma"/>
          <w:i/>
          <w:spacing w:val="-1"/>
          <w:sz w:val="24"/>
          <w:u w:val="single"/>
          <w:lang w:val="el-GR"/>
        </w:rPr>
        <w:t xml:space="preserve"> </w:t>
      </w:r>
      <w:r>
        <w:rPr>
          <w:rFonts w:cs="Tahoma"/>
          <w:i/>
          <w:sz w:val="24"/>
          <w:u w:val="single"/>
          <w:lang w:val="el-GR"/>
        </w:rPr>
        <w:t>για την εφαρμογή</w:t>
      </w:r>
      <w:r>
        <w:rPr>
          <w:rFonts w:cs="Tahoma"/>
          <w:i/>
          <w:spacing w:val="-1"/>
          <w:sz w:val="24"/>
          <w:u w:val="single"/>
          <w:lang w:val="el-GR"/>
        </w:rPr>
        <w:t xml:space="preserve"> </w:t>
      </w:r>
      <w:r>
        <w:rPr>
          <w:rFonts w:cs="Tahoma"/>
          <w:i/>
          <w:sz w:val="24"/>
          <w:u w:val="single"/>
          <w:lang w:val="el-GR"/>
        </w:rPr>
        <w:t>της.</w:t>
      </w:r>
    </w:p>
    <w:p>
      <w:pPr>
        <w:pStyle w:val="2"/>
        <w:tabs>
          <w:tab w:val="clear" w:pos="567"/>
          <w:tab w:val="left" w:pos="0" w:leader="none"/>
        </w:tabs>
        <w:spacing w:lineRule="auto" w:line="276"/>
        <w:ind w:left="0" w:right="0" w:hanging="0"/>
        <w:rPr/>
      </w:pPr>
      <w:bookmarkStart w:id="272" w:name="__RefHeading___Toc35701_1890191151"/>
      <w:bookmarkStart w:id="273" w:name="_Toc138844708"/>
      <w:bookmarkStart w:id="274" w:name="_Toc138061925"/>
      <w:bookmarkStart w:id="275" w:name="_Toc75715001"/>
      <w:bookmarkStart w:id="276" w:name="_Toc75718034"/>
      <w:bookmarkEnd w:id="272"/>
      <w:r>
        <w:rPr>
          <w:rFonts w:ascii="Calibri" w:hAnsi="Calibri"/>
          <w:sz w:val="24"/>
          <w:szCs w:val="24"/>
          <w:lang w:val="el-GR"/>
        </w:rPr>
        <w:t xml:space="preserve">ΑΡΘΡΟ 8 : </w:t>
      </w:r>
      <w:bookmarkEnd w:id="275"/>
      <w:bookmarkEnd w:id="276"/>
      <w:r>
        <w:rPr>
          <w:rFonts w:ascii="Calibri" w:hAnsi="Calibri"/>
          <w:sz w:val="24"/>
          <w:szCs w:val="24"/>
          <w:lang w:val="el-GR"/>
        </w:rPr>
        <w:t>ΠΑΡΑΚΟΛΟΥΘΗΣΗ-ΠΑΡΑΛΑΒΗ ΑΝΤΙΚΕΙΜΕΝΟΥ-ΧΡΟΝΟΣ ΚΑΙ ΤΡΟΠΟΣ ΠΑΡΟΧΗ ΥΠΗΡΕΣΙΩΝ</w:t>
      </w:r>
      <w:bookmarkEnd w:id="273"/>
      <w:bookmarkEnd w:id="274"/>
    </w:p>
    <w:p>
      <w:pPr>
        <w:pStyle w:val="Normal"/>
        <w:spacing w:lineRule="auto" w:line="276" w:before="0" w:after="120"/>
        <w:contextualSpacing/>
        <w:rPr>
          <w:rFonts w:cs="Tahoma"/>
          <w:b/>
          <w:b/>
          <w:sz w:val="24"/>
          <w:lang w:val="el-GR"/>
        </w:rPr>
      </w:pPr>
      <w:r>
        <w:rPr>
          <w:rFonts w:cs="Tahoma"/>
          <w:b/>
          <w:sz w:val="24"/>
          <w:lang w:val="el-GR"/>
        </w:rPr>
        <w:t>ΠΑΡΑΚΟΛΟΥΘΗΣΗ- ΠΑΡΑΛΑΒΗ</w:t>
      </w:r>
    </w:p>
    <w:p>
      <w:pPr>
        <w:pStyle w:val="Normal"/>
        <w:shd w:val="clear" w:color="auto" w:fill="FFFFFF"/>
        <w:tabs>
          <w:tab w:val="clear" w:pos="720"/>
          <w:tab w:val="left" w:pos="567" w:leader="none"/>
        </w:tabs>
        <w:spacing w:lineRule="auto" w:line="276"/>
        <w:rPr>
          <w:rFonts w:eastAsia="Arial Unicode MS" w:cs="Tahoma"/>
          <w:sz w:val="24"/>
          <w:lang w:val="el-GR"/>
        </w:rPr>
      </w:pPr>
      <w:r>
        <w:rPr>
          <w:rFonts w:eastAsia="Arial Unicode MS" w:cs="Tahoma"/>
          <w:sz w:val="24"/>
          <w:lang w:val="el-GR"/>
        </w:rPr>
        <w:t>Η παρακολούθηση και παραλαβή των υπηρεσιών θα γίνεται από τις κατά τόπους Επιτροπές Παραλαβής και Παρακολούθησης της κάθε Υπηρεσίας με ευθύνη του Προϊσταμένου Διεύθυνσης της Υπηρεσίας που είναι αρμόδια για το κτίριο, όπως θα ισχύουν για την εκτέλεση της παρούσας σύμβασης.</w:t>
      </w:r>
    </w:p>
    <w:p>
      <w:pPr>
        <w:pStyle w:val="Normal"/>
        <w:shd w:val="clear" w:color="auto" w:fill="FFFFFF"/>
        <w:tabs>
          <w:tab w:val="clear" w:pos="720"/>
          <w:tab w:val="left" w:pos="567" w:leader="none"/>
        </w:tabs>
        <w:spacing w:lineRule="auto" w:line="276"/>
        <w:rPr>
          <w:rFonts w:eastAsia="Arial Unicode MS" w:cs="Tahoma"/>
          <w:b/>
          <w:b/>
          <w:sz w:val="24"/>
          <w:lang w:val="el-GR"/>
        </w:rPr>
      </w:pPr>
      <w:r>
        <w:rPr>
          <w:rFonts w:eastAsia="Arial Unicode MS" w:cs="Tahoma"/>
          <w:b/>
          <w:sz w:val="24"/>
          <w:lang w:val="el-GR"/>
        </w:rPr>
        <w:t>ΠΑΡΑΚΟΛΟΥΘΗΣΗ ΤΗΣ ΣΥΜΒΑΣΗΣ</w:t>
      </w:r>
    </w:p>
    <w:p>
      <w:pPr>
        <w:pStyle w:val="Normal"/>
        <w:shd w:val="clear" w:color="auto" w:fill="FFFFFF"/>
        <w:tabs>
          <w:tab w:val="clear" w:pos="720"/>
          <w:tab w:val="left" w:pos="567" w:leader="none"/>
        </w:tabs>
        <w:spacing w:lineRule="auto" w:line="276"/>
        <w:rPr>
          <w:rFonts w:eastAsia="Arial Unicode MS" w:cs="Tahoma"/>
          <w:sz w:val="24"/>
          <w:lang w:val="el-GR"/>
        </w:rPr>
      </w:pPr>
      <w:r>
        <w:rPr>
          <w:rFonts w:eastAsia="Arial Unicode MS" w:cs="Tahoma"/>
          <w:sz w:val="24"/>
          <w:lang w:val="el-GR"/>
        </w:rPr>
        <w:t>Η παρακολούθηση της εκτέλεσης της σύμβασης θα γίνεται από Επιτροπή Παρακολούθησης που θα συσταθεί για το σκοπό αυτό από τον Προϊστάμενο Διεύθυνσης της Υπηρεσίας, όπου θα εκτελούνται οι υπηρεσίες καθαριότητας, καθήκον της οποίας θα είναι, σύμφωνα με το άρθρο 216 του ν.4412/16, ενδεικτικά, η πιστοποίηση της εκτέλεσης του αντικειμένου της σύμβασης, καθώς και ο έλεγχος της συμμόρφωσης του αναδόχου με τους όρους της σύμβασης. Στο τέλος κάθε μήνα, θα συντάσσεται από τα εν λόγω όργανα, μηνιαίο πρακτικό παρακολούθησης/εκτέλεσης  και παραλαβής των εργασιών.</w:t>
      </w:r>
    </w:p>
    <w:p>
      <w:pPr>
        <w:pStyle w:val="Normal"/>
        <w:shd w:val="clear" w:color="auto" w:fill="FFFFFF"/>
        <w:tabs>
          <w:tab w:val="clear" w:pos="720"/>
          <w:tab w:val="left" w:pos="567" w:leader="none"/>
        </w:tabs>
        <w:spacing w:lineRule="auto" w:line="276"/>
        <w:rPr>
          <w:rFonts w:eastAsia="Arial Unicode MS" w:cs="Tahoma"/>
          <w:b/>
          <w:b/>
          <w:sz w:val="24"/>
          <w:lang w:val="el-GR"/>
        </w:rPr>
      </w:pPr>
      <w:r>
        <w:rPr>
          <w:rFonts w:eastAsia="Arial Unicode MS" w:cs="Tahoma"/>
          <w:b/>
          <w:sz w:val="24"/>
          <w:lang w:val="el-GR"/>
        </w:rPr>
        <w:t>ΠΑΡΑΛΑΒΗ ΤΟΥ ΑΝΤΙΚΕΙΜΕΝΟΥ ΤΗΣ ΣΎΜΒΑΣΗΣ</w:t>
      </w:r>
    </w:p>
    <w:p>
      <w:pPr>
        <w:pStyle w:val="Style19"/>
        <w:spacing w:lineRule="auto" w:line="276" w:before="0" w:after="0"/>
        <w:rPr/>
      </w:pPr>
      <w:r>
        <w:rPr>
          <w:rFonts w:eastAsia="Arial Unicode MS" w:cs="Tahoma"/>
          <w:kern w:val="2"/>
          <w:sz w:val="24"/>
          <w:lang w:val="el-GR" w:bidi="hi-IN"/>
        </w:rPr>
        <w:t xml:space="preserve">Η παραλαβή των παρεχόμενων υπηρεσιών θα γίνεται μηνιαίως από τριμελή Επιτροπή Παραλαβής που θα συγκροτηθεί ειδικά για το σκοπό αυτό, </w:t>
      </w:r>
      <w:r>
        <w:rPr>
          <w:rFonts w:eastAsia="Arial Unicode MS" w:cs="Tahoma"/>
          <w:color w:val="000000"/>
          <w:sz w:val="24"/>
          <w:lang w:val="el-GR" w:eastAsia="el-GR"/>
        </w:rPr>
        <w:t xml:space="preserve">σε κάθε Υπηρεσία, </w:t>
      </w:r>
      <w:r>
        <w:rPr>
          <w:rFonts w:eastAsia="Arial Unicode MS" w:cs="Tahoma"/>
          <w:kern w:val="2"/>
          <w:sz w:val="24"/>
          <w:lang w:val="el-GR" w:bidi="hi-IN"/>
        </w:rPr>
        <w:t xml:space="preserve"> σύμφωνα με τα οριζόμενα στην παρ. 11, περ. δ του άρθρου 221 του ν.4412/16, όπως ισχύει και η οποία θα συντάσσει μηνιαίο πρωτόκολλο οριστικής παραλαβής.</w:t>
      </w:r>
    </w:p>
    <w:p>
      <w:pPr>
        <w:pStyle w:val="Normal"/>
        <w:spacing w:lineRule="auto" w:line="276" w:before="0" w:after="0"/>
        <w:rPr>
          <w:rFonts w:eastAsia="Arial Unicode MS" w:cs="Tahoma"/>
          <w:sz w:val="24"/>
          <w:lang w:val="el-GR"/>
        </w:rPr>
      </w:pPr>
      <w:r>
        <w:rPr>
          <w:rFonts w:eastAsia="Arial Unicode MS" w:cs="Tahoma"/>
          <w:sz w:val="24"/>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pPr>
        <w:pStyle w:val="Normal"/>
        <w:spacing w:lineRule="auto" w:line="276"/>
        <w:rPr>
          <w:rFonts w:eastAsia="Arial Unicode MS" w:cs="Tahoma"/>
          <w:sz w:val="24"/>
          <w:lang w:val="el-GR"/>
        </w:rPr>
      </w:pPr>
      <w:r>
        <w:rPr>
          <w:rFonts w:eastAsia="Arial Unicode MS" w:cs="Tahoma"/>
          <w:sz w:val="24"/>
          <w:lang w:val="el-GR"/>
        </w:rPr>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pPr>
        <w:pStyle w:val="Normal"/>
        <w:spacing w:lineRule="auto" w:line="276"/>
        <w:rPr>
          <w:rFonts w:eastAsia="Arial Unicode MS" w:cs="Tahoma"/>
          <w:sz w:val="24"/>
          <w:lang w:val="el-GR"/>
        </w:rPr>
      </w:pPr>
      <w:r>
        <w:rPr>
          <w:rFonts w:eastAsia="Arial Unicode MS" w:cs="Tahoma"/>
          <w:sz w:val="24"/>
          <w:lang w:val="el-GR"/>
        </w:rPr>
        <w:t xml:space="preserve">Για την εφαρμογή της προηγούμενης παραγράφου ορίζονται τα ακόλουθα: </w:t>
      </w:r>
    </w:p>
    <w:p>
      <w:pPr>
        <w:pStyle w:val="Normal"/>
        <w:spacing w:lineRule="auto" w:line="276"/>
        <w:rPr>
          <w:rFonts w:eastAsia="Arial Unicode MS" w:cs="Tahoma"/>
          <w:sz w:val="24"/>
          <w:lang w:val="el-GR"/>
        </w:rPr>
      </w:pPr>
      <w:r>
        <w:rPr>
          <w:rFonts w:eastAsia="Arial Unicode MS" w:cs="Tahoma"/>
          <w:sz w:val="24"/>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pPr>
        <w:pStyle w:val="Normal"/>
        <w:spacing w:lineRule="auto" w:line="276"/>
        <w:rPr>
          <w:rFonts w:eastAsia="Arial Unicode MS" w:cs="Tahoma"/>
          <w:sz w:val="24"/>
          <w:lang w:val="el-GR"/>
        </w:rPr>
      </w:pPr>
      <w:r>
        <w:rPr>
          <w:rFonts w:eastAsia="Arial Unicode MS" w:cs="Tahoma"/>
          <w:sz w:val="24"/>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pPr>
        <w:pStyle w:val="Normal"/>
        <w:spacing w:lineRule="auto" w:line="276"/>
        <w:rPr>
          <w:rFonts w:eastAsia="Arial Unicode MS" w:cs="Tahoma"/>
          <w:sz w:val="24"/>
          <w:lang w:val="el-GR"/>
        </w:rPr>
      </w:pPr>
      <w:r>
        <w:rPr>
          <w:rFonts w:eastAsia="Arial Unicode MS" w:cs="Tahoma"/>
          <w:sz w:val="24"/>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pPr>
        <w:pStyle w:val="Normal"/>
        <w:spacing w:lineRule="auto" w:line="276"/>
        <w:rPr>
          <w:rFonts w:eastAsia="Arial Unicode MS" w:cs="Tahoma"/>
          <w:sz w:val="24"/>
          <w:lang w:val="el-GR"/>
        </w:rPr>
      </w:pPr>
      <w:r>
        <w:rPr>
          <w:rFonts w:eastAsia="Arial Unicode MS" w:cs="Tahoma"/>
          <w:sz w:val="24"/>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Η εγγυητική επιστολή καλής εκτέλεσης δεν επιστρέφεται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pPr>
        <w:pStyle w:val="Normal"/>
        <w:shd w:val="clear" w:color="auto" w:fill="FFFFFF"/>
        <w:tabs>
          <w:tab w:val="clear" w:pos="720"/>
          <w:tab w:val="left" w:pos="567" w:leader="none"/>
        </w:tabs>
        <w:spacing w:lineRule="auto" w:line="276"/>
        <w:rPr>
          <w:rFonts w:eastAsia="Arial Unicode MS" w:cs="Tahoma"/>
          <w:sz w:val="24"/>
          <w:lang w:val="el-GR"/>
        </w:rPr>
      </w:pPr>
      <w:r>
        <w:rPr>
          <w:rFonts w:eastAsia="Arial Unicode MS" w:cs="Tahoma"/>
          <w:sz w:val="24"/>
          <w:lang w:val="el-GR"/>
        </w:rPr>
        <w:t>Η Επιτροπή, εάν δεν διατυπώσει ελλείψεις ή παραλείψεις κατά την παραλαβή του αντικειμένου της σύμβασης συντάσσει Πρωτόκολλο Οριστικής Ποσοτικής και Ποιοτικής Παραλαβής.</w:t>
      </w:r>
    </w:p>
    <w:p>
      <w:pPr>
        <w:pStyle w:val="Normal"/>
        <w:shd w:val="clear" w:color="auto" w:fill="FFFFFF"/>
        <w:tabs>
          <w:tab w:val="clear" w:pos="720"/>
          <w:tab w:val="left" w:pos="567" w:leader="none"/>
        </w:tabs>
        <w:spacing w:lineRule="auto" w:line="276" w:before="0" w:after="0"/>
        <w:rPr/>
      </w:pPr>
      <w:r>
        <w:rPr>
          <w:rFonts w:eastAsia="Arial Unicode MS" w:cs="Tahoma"/>
          <w:b/>
          <w:sz w:val="24"/>
          <w:lang w:val="el-GR"/>
        </w:rPr>
        <w:t>Στο τέλος κάθε μήνα</w:t>
      </w:r>
      <w:r>
        <w:rPr>
          <w:rFonts w:eastAsia="Arial Unicode MS" w:cs="Tahoma"/>
          <w:sz w:val="24"/>
          <w:lang w:val="el-GR"/>
        </w:rPr>
        <w:t>, θα συντάσσεται από το εν λόγω όργανο, μηνιαίο πρακτικό παρακολούθησης, ελέγχου και παραλαβής υπηρεσιών (βλ. ΠΑΡΑΡΤΗΜΑ ΙΙ της παρούσης), το οποίο και θα αποστέλλεται στην ΠΥΣΥ Θεσσαλίας, Τμήμα Συντονισμού και Υποστήριξης, Αγχιάλου &amp; Αγ. Τριάδος, Τ. Κ. 413 34, Λάρισα.</w:t>
      </w:r>
    </w:p>
    <w:p>
      <w:pPr>
        <w:pStyle w:val="Normal"/>
        <w:shd w:val="clear" w:color="auto" w:fill="FFFFFF"/>
        <w:tabs>
          <w:tab w:val="clear" w:pos="720"/>
          <w:tab w:val="left" w:pos="567" w:leader="none"/>
        </w:tabs>
        <w:spacing w:lineRule="auto" w:line="276" w:before="0" w:after="0"/>
        <w:rPr>
          <w:rFonts w:eastAsia="Arial Unicode MS" w:cs="Tahoma"/>
          <w:sz w:val="24"/>
          <w:lang w:val="el-GR"/>
        </w:rPr>
      </w:pPr>
      <w:r>
        <w:rPr>
          <w:rFonts w:eastAsia="Arial Unicode MS" w:cs="Tahoma"/>
          <w:sz w:val="24"/>
          <w:lang w:val="el-GR"/>
        </w:rPr>
        <w:t>Κατά τα λοιπά εφαρμόζονται οι διατάξεις του άρθρου 219 του Ν.4412/2016.</w:t>
      </w:r>
    </w:p>
    <w:p>
      <w:pPr>
        <w:pStyle w:val="Normal"/>
        <w:shd w:val="clear" w:color="auto" w:fill="FFFFFF"/>
        <w:tabs>
          <w:tab w:val="clear" w:pos="720"/>
          <w:tab w:val="left" w:pos="567" w:leader="none"/>
        </w:tabs>
        <w:spacing w:lineRule="auto" w:line="276" w:before="0" w:after="0"/>
        <w:rPr>
          <w:rFonts w:eastAsia="Arial Unicode MS" w:cs="Tahoma"/>
          <w:sz w:val="24"/>
          <w:lang w:val="el-GR"/>
        </w:rPr>
      </w:pPr>
      <w:r>
        <w:rPr>
          <w:rFonts w:eastAsia="Arial Unicode MS" w:cs="Tahoma"/>
          <w:sz w:val="24"/>
          <w:lang w:val="el-GR"/>
        </w:rPr>
      </w:r>
    </w:p>
    <w:p>
      <w:pPr>
        <w:pStyle w:val="2"/>
        <w:spacing w:lineRule="auto" w:line="276"/>
        <w:ind w:left="0" w:right="0" w:hanging="0"/>
        <w:rPr/>
      </w:pPr>
      <w:bookmarkStart w:id="277" w:name="__RefHeading___Toc35703_1890191151"/>
      <w:bookmarkStart w:id="278" w:name="_Toc138844709"/>
      <w:bookmarkStart w:id="279" w:name="_Toc138061926"/>
      <w:bookmarkStart w:id="280" w:name="_Toc75715002"/>
      <w:bookmarkStart w:id="281" w:name="_Toc75718035"/>
      <w:bookmarkEnd w:id="277"/>
      <w:r>
        <w:rPr>
          <w:rFonts w:ascii="Calibri" w:hAnsi="Calibri"/>
          <w:sz w:val="24"/>
          <w:szCs w:val="24"/>
          <w:lang w:val="el-GR"/>
        </w:rPr>
        <w:t xml:space="preserve">ΑΡΘΡΟ 9: </w:t>
      </w:r>
      <w:bookmarkEnd w:id="280"/>
      <w:bookmarkEnd w:id="281"/>
      <w:r>
        <w:rPr>
          <w:rFonts w:ascii="Calibri" w:hAnsi="Calibri"/>
          <w:sz w:val="24"/>
          <w:szCs w:val="24"/>
          <w:lang w:val="el-GR"/>
        </w:rPr>
        <w:t>ΑΠΟΡΡΙΨΗ ΥΠΗΡΕΣΙΩΝ – ΠΑΡΑΔΟΤΕΩΝ- ΑΝΤΙΚΑΤΑΣΤΑΣΗ</w:t>
      </w:r>
      <w:bookmarkEnd w:id="278"/>
      <w:bookmarkEnd w:id="279"/>
    </w:p>
    <w:p>
      <w:pPr>
        <w:pStyle w:val="Normal"/>
        <w:suppressAutoHyphens w:val="false"/>
        <w:spacing w:lineRule="auto" w:line="276" w:before="0" w:after="0"/>
        <w:rPr/>
      </w:pPr>
      <w:r>
        <w:rPr>
          <w:rFonts w:cs="Tahoma"/>
          <w:sz w:val="24"/>
          <w:lang w:val="el-GR" w:eastAsia="el-GR"/>
        </w:rPr>
        <w:t>9.1.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παρούσας σύμβασης, μέσα σε τακτή προθεσμία που ορίζεται από την απόφαση αυτή και σύμφωνα με το άρθρο 6.4 της Διακήρυξης.</w:t>
      </w:r>
    </w:p>
    <w:p>
      <w:pPr>
        <w:pStyle w:val="Normal"/>
        <w:suppressAutoHyphens w:val="false"/>
        <w:spacing w:lineRule="auto" w:line="276" w:before="0" w:after="0"/>
        <w:rPr>
          <w:rFonts w:cs="Tahoma"/>
          <w:sz w:val="24"/>
          <w:lang w:val="el-GR" w:eastAsia="el-GR"/>
        </w:rPr>
      </w:pPr>
      <w:r>
        <w:rPr>
          <w:rFonts w:cs="Tahoma"/>
          <w:sz w:val="24"/>
          <w:lang w:val="el-GR" w:eastAsia="el-GR"/>
        </w:rPr>
        <w:t>9.2.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Διακήρυξης, λόγω εκπρόθεσμης παράδοσης.</w:t>
      </w:r>
    </w:p>
    <w:p>
      <w:pPr>
        <w:pStyle w:val="Normal"/>
        <w:suppressAutoHyphens w:val="false"/>
        <w:spacing w:lineRule="auto" w:line="276" w:before="0" w:after="0"/>
        <w:rPr>
          <w:rFonts w:cs="Tahoma"/>
          <w:sz w:val="24"/>
          <w:lang w:val="el-GR" w:eastAsia="el-GR"/>
        </w:rPr>
      </w:pPr>
      <w:r>
        <w:rPr>
          <w:rFonts w:cs="Tahoma"/>
          <w:sz w:val="24"/>
          <w:lang w:val="el-GR" w:eastAsia="el-GR"/>
        </w:rPr>
        <w:t>9.3. 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2"/>
        <w:spacing w:lineRule="auto" w:line="276"/>
        <w:ind w:left="567" w:right="0" w:hanging="567"/>
        <w:rPr>
          <w:rFonts w:ascii="Calibri" w:hAnsi="Calibri"/>
          <w:sz w:val="24"/>
          <w:szCs w:val="24"/>
          <w:lang w:val="el-GR"/>
        </w:rPr>
      </w:pPr>
      <w:bookmarkStart w:id="282" w:name="__RefHeading___Toc35705_1890191151"/>
      <w:bookmarkStart w:id="283" w:name="_Toc138061927"/>
      <w:bookmarkStart w:id="284" w:name="_Toc75718036"/>
      <w:bookmarkStart w:id="285" w:name="_Toc75715003"/>
      <w:bookmarkStart w:id="286" w:name="_Toc138844710"/>
      <w:bookmarkEnd w:id="282"/>
      <w:r>
        <w:rPr>
          <w:rFonts w:ascii="Calibri" w:hAnsi="Calibri"/>
          <w:sz w:val="24"/>
          <w:szCs w:val="24"/>
          <w:lang w:val="el-GR"/>
        </w:rPr>
        <w:t>ΑΡΘΡΟ 10 : ΕΓΓΥΗΣΕΙΣ</w:t>
      </w:r>
      <w:bookmarkEnd w:id="283"/>
      <w:bookmarkEnd w:id="284"/>
      <w:bookmarkEnd w:id="285"/>
      <w:bookmarkEnd w:id="286"/>
    </w:p>
    <w:p>
      <w:pPr>
        <w:pStyle w:val="Normal"/>
        <w:spacing w:lineRule="auto" w:line="276" w:before="0" w:after="0"/>
        <w:contextualSpacing/>
        <w:rPr>
          <w:rFonts w:cs="Tahoma"/>
          <w:b/>
          <w:b/>
          <w:sz w:val="24"/>
          <w:lang w:val="el-GR"/>
        </w:rPr>
      </w:pPr>
      <w:r>
        <w:rPr>
          <w:rFonts w:cs="Tahoma"/>
          <w:b/>
          <w:sz w:val="24"/>
          <w:lang w:val="el-GR"/>
        </w:rPr>
        <w:t xml:space="preserve"> </w:t>
      </w:r>
      <w:r>
        <w:rPr>
          <w:rFonts w:cs="Tahoma"/>
          <w:b/>
          <w:sz w:val="24"/>
          <w:lang w:val="el-GR"/>
        </w:rPr>
        <w:t>ΕΓΓΥΗΤΙΚΗ ΕΠΙΣΤΟΛΗ ΚΑΛΗΣ ΕΚΤΕΛΕΣΗΣ</w:t>
      </w:r>
    </w:p>
    <w:p>
      <w:pPr>
        <w:pStyle w:val="Normal"/>
        <w:spacing w:lineRule="auto" w:line="276" w:before="0" w:after="0"/>
        <w:contextualSpacing/>
        <w:rPr/>
      </w:pPr>
      <w:r>
        <w:rPr>
          <w:rFonts w:cs="Tahoma"/>
          <w:sz w:val="24"/>
          <w:lang w:val="el-GR"/>
        </w:rPr>
        <w:t xml:space="preserve">Ο Ανάδοχος κατέθεσε την υπ. αρ. ……………………………. </w:t>
      </w:r>
      <w:r>
        <w:rPr>
          <w:rFonts w:cs="Tahoma"/>
          <w:b/>
          <w:sz w:val="24"/>
          <w:lang w:val="el-GR"/>
        </w:rPr>
        <w:t>εγγυητική επιστολή</w:t>
      </w:r>
      <w:r>
        <w:rPr>
          <w:rFonts w:cs="Tahoma"/>
          <w:sz w:val="24"/>
          <w:lang w:val="el-GR"/>
        </w:rPr>
        <w:t xml:space="preserve"> </w:t>
      </w:r>
      <w:r>
        <w:rPr>
          <w:rFonts w:cs="Tahoma"/>
          <w:b/>
          <w:sz w:val="24"/>
          <w:lang w:val="el-GR"/>
        </w:rPr>
        <w:t>για την καλή εκτέλεση</w:t>
      </w:r>
      <w:r>
        <w:rPr>
          <w:rFonts w:cs="Tahoma"/>
          <w:sz w:val="24"/>
          <w:lang w:val="el-GR"/>
        </w:rPr>
        <w:t xml:space="preserve"> των όρων της Σύμβασης, ………………………………………………………………………………., ποσού </w:t>
      </w:r>
      <w:r>
        <w:rPr>
          <w:rFonts w:cs="Tahoma"/>
          <w:b/>
          <w:sz w:val="24"/>
          <w:lang w:val="el-GR"/>
        </w:rPr>
        <w:t>#..................#€</w:t>
      </w:r>
      <w:r>
        <w:rPr>
          <w:rFonts w:cs="Tahoma"/>
          <w:sz w:val="24"/>
          <w:lang w:val="el-GR"/>
        </w:rPr>
        <w:t xml:space="preserve">  (……………………………………………… ευρώ), το ύψος του οποίου αντιστοιχεί σε </w:t>
      </w:r>
      <w:r>
        <w:rPr>
          <w:rFonts w:cs="Tahoma"/>
          <w:b/>
          <w:sz w:val="24"/>
          <w:u w:val="single"/>
          <w:lang w:val="el-GR"/>
        </w:rPr>
        <w:t>ποσοστό 4%</w:t>
      </w:r>
      <w:r>
        <w:rPr>
          <w:rFonts w:cs="Tahoma"/>
          <w:sz w:val="24"/>
          <w:lang w:val="el-GR"/>
        </w:rPr>
        <w:t xml:space="preserve"> της εκτιμώμενης αξίας της σύμβασης, χωρίς τον Φ.Π.Α. (άρθρο 72 του Ν. 4412/2016).  </w:t>
      </w:r>
    </w:p>
    <w:p>
      <w:pPr>
        <w:pStyle w:val="Normal"/>
        <w:spacing w:lineRule="auto" w:line="276" w:before="0" w:after="0"/>
        <w:contextualSpacing/>
        <w:rPr/>
      </w:pPr>
      <w:r>
        <w:rPr>
          <w:rFonts w:cs="Tahoma"/>
          <w:sz w:val="24"/>
          <w:lang w:val="el-GR"/>
        </w:rPr>
        <w:t xml:space="preserve">Η εγγυητική επιστολή καλής εκτέλεσης της Σύμβασης </w:t>
      </w:r>
      <w:r>
        <w:rPr>
          <w:rFonts w:cs="Tahoma"/>
          <w:b/>
          <w:sz w:val="24"/>
          <w:lang w:val="el-GR" w:eastAsia="el-GR"/>
        </w:rPr>
        <w:t>επιστρέφεται μετά από αίτημα του αναδόχου</w:t>
      </w:r>
      <w:r>
        <w:rPr>
          <w:rFonts w:cs="Tahoma"/>
          <w:sz w:val="24"/>
          <w:lang w:val="el-GR" w:eastAsia="el-GR"/>
        </w:rPr>
        <w:t xml:space="preserve"> και εφόσον έχουν ολοκληρωθεί όλοι οι προβλεπόμενοι από την παρούσα σύμβαση έλεγχοι και σύνταξη των σχετικών πρωτοκόλλων και σύμφωνα με τα οριζόμενα στο άρθρο 14 της παρούσα</w:t>
      </w:r>
    </w:p>
    <w:p>
      <w:pPr>
        <w:pStyle w:val="Normal"/>
        <w:spacing w:lineRule="auto" w:line="276" w:before="0" w:after="0"/>
        <w:contextualSpacing/>
        <w:rPr>
          <w:rFonts w:cs="Tahoma"/>
          <w:sz w:val="24"/>
          <w:lang w:val="el-GR"/>
        </w:rPr>
      </w:pPr>
      <w:r>
        <w:rPr>
          <w:rFonts w:cs="Tahoma"/>
          <w:sz w:val="24"/>
          <w:lang w:val="el-GR"/>
        </w:rPr>
        <w:t>Η εγγυητική επιστολή καλής εκτέλεσης της Σύμβασης καταπίπτει στην περίπτωση παράβασης των όρων της σύμβασης, όπως αυτή ειδικότερα ορίζει.</w:t>
      </w:r>
    </w:p>
    <w:p>
      <w:pPr>
        <w:pStyle w:val="Normal"/>
        <w:suppressAutoHyphens w:val="false"/>
        <w:spacing w:lineRule="auto" w:line="276" w:before="0" w:after="0"/>
        <w:rPr>
          <w:rFonts w:cs="Tahoma"/>
          <w:b/>
          <w:b/>
          <w:sz w:val="24"/>
          <w:lang w:val="el-GR" w:eastAsia="el-GR"/>
        </w:rPr>
      </w:pPr>
      <w:r>
        <w:rPr>
          <w:rFonts w:cs="Tahoma"/>
          <w:b/>
          <w:sz w:val="24"/>
          <w:lang w:val="el-GR" w:eastAsia="el-GR"/>
        </w:rPr>
      </w:r>
    </w:p>
    <w:p>
      <w:pPr>
        <w:pStyle w:val="Normal"/>
        <w:suppressAutoHyphens w:val="false"/>
        <w:spacing w:lineRule="auto" w:line="276" w:before="0" w:after="0"/>
        <w:rPr>
          <w:rFonts w:cs="Tahoma"/>
          <w:sz w:val="24"/>
          <w:lang w:val="el-GR"/>
        </w:rPr>
      </w:pPr>
      <w:r>
        <w:rPr>
          <w:rFonts w:cs="Tahoma"/>
          <w:sz w:val="24"/>
          <w:lang w:val="el-GR"/>
        </w:rPr>
        <w:t xml:space="preserve">Αν τα αγαθά ή οι υπηρεσίες είναι διαιρετά και η παράδοση γίνεται, σύμφωνα με τη σύμβαση, τμηματικά, η εγγύηση καλής εκτέλεσης είναι δυνατόν να αποδεσμεύεται σταδιακά, κατά το ποσόν που αναλογεί στην αξία του μέρους της ποσότητας των αγαθών ή του τμήματος της υπηρεσίας που παραλήφθηκε οριστικά. </w:t>
      </w:r>
    </w:p>
    <w:p>
      <w:pPr>
        <w:pStyle w:val="Normal"/>
        <w:spacing w:lineRule="auto" w:line="276" w:before="0" w:after="0"/>
        <w:rPr>
          <w:rFonts w:cs="Tahoma"/>
          <w:sz w:val="24"/>
          <w:lang w:val="el-GR"/>
        </w:rPr>
      </w:pPr>
      <w:r>
        <w:rPr>
          <w:rFonts w:cs="Tahoma"/>
          <w:sz w:val="24"/>
          <w:lang w:val="el-GR"/>
        </w:rPr>
        <w:t>Για τη σταδιακή αποδέσμευση απαιτείται :</w:t>
      </w:r>
    </w:p>
    <w:p>
      <w:pPr>
        <w:pStyle w:val="Normal"/>
        <w:numPr>
          <w:ilvl w:val="0"/>
          <w:numId w:val="23"/>
        </w:numPr>
        <w:spacing w:before="0" w:after="0"/>
        <w:ind w:left="720" w:right="0" w:hanging="360"/>
        <w:jc w:val="both"/>
        <w:rPr>
          <w:rFonts w:cs="Tahoma"/>
          <w:sz w:val="24"/>
          <w:szCs w:val="24"/>
        </w:rPr>
      </w:pPr>
      <w:r>
        <w:rPr>
          <w:rFonts w:cs="Tahoma"/>
          <w:sz w:val="24"/>
          <w:szCs w:val="24"/>
        </w:rPr>
        <w:t>αίτημα του αναδόχου (για αποδέσμευση ποσού που αναλογεί στην αξία του μέρους της ποσότητας των αγαθών ή του τμήματος της υπηρεσίας που παραλήφθηκε οριστικά.)</w:t>
      </w:r>
    </w:p>
    <w:p>
      <w:pPr>
        <w:pStyle w:val="Normal"/>
        <w:numPr>
          <w:ilvl w:val="0"/>
          <w:numId w:val="23"/>
        </w:numPr>
        <w:spacing w:before="0" w:after="0"/>
        <w:ind w:left="720" w:right="0" w:hanging="360"/>
        <w:jc w:val="both"/>
        <w:rPr>
          <w:rFonts w:cs="Tahoma"/>
          <w:sz w:val="24"/>
          <w:szCs w:val="24"/>
        </w:rPr>
      </w:pPr>
      <w:r>
        <w:rPr>
          <w:rFonts w:cs="Tahoma"/>
          <w:sz w:val="24"/>
          <w:szCs w:val="24"/>
        </w:rPr>
        <w:t xml:space="preserve">προηγούμενη γνωμοδότηση του αρμόδιου συλλογικού οργάνου και έκδοση απόφασης το αρμοδίου οργάνου της αναθέτουσας αρχής </w:t>
      </w:r>
    </w:p>
    <w:p>
      <w:pPr>
        <w:pStyle w:val="Normal"/>
        <w:numPr>
          <w:ilvl w:val="0"/>
          <w:numId w:val="23"/>
        </w:numPr>
        <w:spacing w:before="0" w:after="0"/>
        <w:ind w:left="720" w:right="0" w:hanging="360"/>
        <w:jc w:val="both"/>
        <w:rPr>
          <w:rFonts w:cs="Tahoma"/>
          <w:sz w:val="24"/>
          <w:szCs w:val="24"/>
        </w:rPr>
      </w:pPr>
      <w:r>
        <w:rPr>
          <w:rFonts w:cs="Tahoma"/>
          <w:sz w:val="24"/>
          <w:szCs w:val="24"/>
        </w:rPr>
        <w:t>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w:t>
      </w:r>
    </w:p>
    <w:p>
      <w:pPr>
        <w:pStyle w:val="Normal"/>
        <w:spacing w:lineRule="auto" w:line="276" w:before="0" w:after="0"/>
        <w:rPr>
          <w:rFonts w:cs="Tahoma"/>
          <w:sz w:val="24"/>
          <w:lang w:val="el-GR"/>
        </w:rPr>
      </w:pPr>
      <w:r>
        <w:rPr>
          <w:rFonts w:cs="Tahoma"/>
          <w:sz w:val="24"/>
          <w:lang w:val="el-GR"/>
        </w:rPr>
      </w:r>
    </w:p>
    <w:p>
      <w:pPr>
        <w:pStyle w:val="2"/>
        <w:spacing w:lineRule="auto" w:line="276"/>
        <w:ind w:left="567" w:right="0" w:hanging="567"/>
        <w:rPr/>
      </w:pPr>
      <w:bookmarkStart w:id="287" w:name="__RefHeading___Toc35707_1890191151"/>
      <w:bookmarkStart w:id="288" w:name="_Toc138061928"/>
      <w:bookmarkStart w:id="289" w:name="_Toc75718037"/>
      <w:bookmarkStart w:id="290" w:name="_Toc75715004"/>
      <w:bookmarkStart w:id="291" w:name="_Toc138844711"/>
      <w:bookmarkEnd w:id="287"/>
      <w:r>
        <w:rPr>
          <w:rFonts w:eastAsia="Arial Unicode MS" w:ascii="Calibri" w:hAnsi="Calibri"/>
          <w:sz w:val="24"/>
          <w:szCs w:val="24"/>
          <w:lang w:val="el-GR" w:eastAsia="el-GR"/>
        </w:rPr>
        <w:t>ΑΡΘΡΟ 11:  ΥΠΕΡΓΟΛΑΒΙΑ</w:t>
      </w:r>
      <w:bookmarkEnd w:id="288"/>
      <w:bookmarkEnd w:id="289"/>
      <w:bookmarkEnd w:id="290"/>
      <w:bookmarkEnd w:id="291"/>
      <w:r>
        <w:rPr>
          <w:rFonts w:eastAsia="Arial Unicode MS" w:ascii="Calibri" w:hAnsi="Calibri"/>
          <w:sz w:val="24"/>
          <w:szCs w:val="24"/>
          <w:lang w:val="el-GR" w:eastAsia="el-GR"/>
        </w:rPr>
        <w:t xml:space="preserve">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11.1.Ο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uppressAutoHyphens w:val="false"/>
        <w:spacing w:lineRule="auto" w:line="276" w:before="0" w:after="0"/>
        <w:rPr/>
      </w:pPr>
      <w:r>
        <w:rPr>
          <w:rFonts w:cs="Tahoma"/>
          <w:sz w:val="24"/>
          <w:lang w:val="el-GR" w:eastAsia="el-GR"/>
        </w:rPr>
        <w:t>Δεν επιτρέπεται η ανάθεση της εκτέλεσης της σύμβασης των πιο κάτω τμημάτων της σύμβασης/των πιο κάτω υπηρεσιών-καθηκόντων ......</w:t>
      </w:r>
      <w:r>
        <w:rPr>
          <w:rStyle w:val="Style14"/>
          <w:rStyle w:val="Style14"/>
          <w:rFonts w:cs="Tahoma"/>
          <w:sz w:val="24"/>
          <w:lang w:val="el-GR" w:eastAsia="el-GR"/>
        </w:rPr>
        <w:footnoteReference w:id="106"/>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uppressAutoHyphens w:val="false"/>
        <w:spacing w:lineRule="auto" w:line="276" w:before="0" w:after="0"/>
        <w:rPr>
          <w:rFonts w:cs="Tahoma"/>
          <w:sz w:val="24"/>
          <w:lang w:val="el-GR" w:eastAsia="el-GR"/>
        </w:rPr>
      </w:pPr>
      <w:r>
        <w:rPr>
          <w:rFonts w:cs="Tahoma"/>
          <w:sz w:val="24"/>
          <w:lang w:val="el-GR" w:eastAsia="el-GR"/>
        </w:rPr>
        <w:t xml:space="preserve">11.2. Ο Ανάδοχος με το από ......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παρούσας  σύμβασης, ο Ανάδοχος υποχρεούται σε άμεση γνωστοποίηση της διακοπής αυτής στην Αναθέτουσα Αρχή και  οφείλει να διασφαλίσει την ομαλή εκτέλεση του τμήματος/ τμημάτων της σύμβασης είτε από τον ίδιο, είτε από νέο υπεργολάβο τον οποίο θα γνωστοποιήσει στην Αναθέτουσα Αρχή κατά την ως άνω διαδικασία. </w:t>
      </w:r>
    </w:p>
    <w:p>
      <w:pPr>
        <w:pStyle w:val="Style25"/>
        <w:spacing w:lineRule="auto" w:line="276"/>
        <w:ind w:left="0" w:right="0" w:hanging="0"/>
        <w:rPr>
          <w:rFonts w:cs="Tahoma"/>
          <w:sz w:val="24"/>
          <w:szCs w:val="24"/>
          <w:lang w:val="el-GR" w:eastAsia="el-GR"/>
        </w:rPr>
      </w:pPr>
      <w:r>
        <w:rPr>
          <w:rFonts w:cs="Tahoma"/>
          <w:sz w:val="24"/>
          <w:szCs w:val="24"/>
          <w:lang w:val="el-GR" w:eastAsia="el-GR"/>
        </w:rPr>
        <w:t>Σε περίπτωση που ο ανάδοχος έχει στηριχθεί στις ικανότητες του υπεργολάβου όσον αφορά τη χρηματοοικονομική επάρκεια-τεχνική και επαγγελματική ικανότητα, σύμφωνα με τις απαιτήσεις της διακήρυξης, προβλέπονται στο σημείο αυτό όροι σχετικά με τη διαδικασία και τις προϋποθέσεις αντικατάστασής του</w:t>
      </w:r>
    </w:p>
    <w:p>
      <w:pPr>
        <w:pStyle w:val="Normal"/>
        <w:suppressAutoHyphens w:val="false"/>
        <w:spacing w:lineRule="auto" w:line="276" w:before="0" w:after="0"/>
        <w:rPr>
          <w:rFonts w:cs="Tahoma"/>
          <w:sz w:val="24"/>
          <w:lang w:val="el-GR" w:eastAsia="el-GR"/>
        </w:rPr>
      </w:pPr>
      <w:r>
        <w:rPr>
          <w:rFonts w:cs="Tahoma"/>
          <w:sz w:val="24"/>
          <w:lang w:val="el-GR" w:eastAsia="el-GR"/>
        </w:rPr>
        <w:t>[Στις συμβάσεις καθαριότητας και φύλαξης προβλέπεται ότι πέραν της ενημέρωσης της αναθέτουσας αρχής για την ανάθεση μέρους αυτής σε υπεργολάβο, ο ανάδοχος και ο υπεργολάβος ευθύνονται αλληλεγγύως και εις ολόκληρον, έναντι των εργαζομένων για την καταβολή των πάσης φύσεως αποδοχών και ασφαλιστικών εισφορών]</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pacing w:lineRule="auto" w:line="276" w:before="0" w:after="0"/>
        <w:rPr/>
      </w:pPr>
      <w:r>
        <w:rPr>
          <w:rFonts w:cs="Tahoma"/>
          <w:sz w:val="24"/>
          <w:lang w:val="el-GR" w:eastAsia="el-GR"/>
        </w:rPr>
        <w:t>11.3.</w:t>
      </w:r>
      <w:r>
        <w:rPr>
          <w:rFonts w:eastAsia="Arial Unicode MS" w:cs="Tahoma"/>
          <w:sz w:val="24"/>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pPr>
        <w:pStyle w:val="Normal"/>
        <w:spacing w:lineRule="auto" w:line="276" w:before="0" w:after="0"/>
        <w:rPr>
          <w:rFonts w:eastAsia="Arial Unicode MS" w:cs="Tahoma"/>
          <w:sz w:val="24"/>
          <w:lang w:val="el-GR"/>
        </w:rPr>
      </w:pPr>
      <w:r>
        <w:rPr>
          <w:rFonts w:eastAsia="Arial Unicode MS" w:cs="Tahoma"/>
          <w:sz w:val="24"/>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uppressAutoHyphens w:val="false"/>
        <w:spacing w:lineRule="auto" w:line="276" w:before="0" w:after="0"/>
        <w:rPr>
          <w:rFonts w:cs="Tahoma"/>
          <w:sz w:val="24"/>
          <w:lang w:val="el-GR" w:eastAsia="el-GR"/>
        </w:rPr>
      </w:pPr>
      <w:r>
        <w:rPr>
          <w:rFonts w:cs="Tahoma"/>
          <w:sz w:val="24"/>
          <w:lang w:val="el-GR" w:eastAsia="el-GR"/>
        </w:rPr>
        <w:t xml:space="preserve">11.4. Ο υπεργολάβος λαμβάνει γνώση της συνημμένης στην παρούσα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 </w:t>
      </w:r>
    </w:p>
    <w:p>
      <w:pPr>
        <w:pStyle w:val="Normal"/>
        <w:spacing w:lineRule="auto" w:line="276" w:before="0" w:after="0"/>
        <w:contextualSpacing/>
        <w:rPr>
          <w:rFonts w:cs="Tahoma"/>
          <w:b/>
          <w:b/>
          <w:sz w:val="24"/>
          <w:lang w:val="el-GR"/>
        </w:rPr>
      </w:pPr>
      <w:r>
        <w:rPr>
          <w:rFonts w:cs="Tahoma"/>
          <w:b/>
          <w:sz w:val="24"/>
          <w:lang w:val="el-GR"/>
        </w:rPr>
      </w:r>
    </w:p>
    <w:p>
      <w:pPr>
        <w:pStyle w:val="2"/>
        <w:spacing w:lineRule="auto" w:line="276"/>
        <w:ind w:left="567" w:right="0" w:hanging="567"/>
        <w:rPr/>
      </w:pPr>
      <w:bookmarkStart w:id="292" w:name="__RefHeading___Toc35709_1890191151"/>
      <w:bookmarkStart w:id="293" w:name="_Toc138061929"/>
      <w:bookmarkStart w:id="294" w:name="_Toc75718038"/>
      <w:bookmarkStart w:id="295" w:name="_Toc75715005"/>
      <w:bookmarkStart w:id="296" w:name="_Toc138844712"/>
      <w:bookmarkEnd w:id="292"/>
      <w:r>
        <w:rPr>
          <w:rFonts w:ascii="Calibri" w:hAnsi="Calibri"/>
          <w:sz w:val="24"/>
          <w:szCs w:val="24"/>
          <w:lang w:val="el-GR"/>
        </w:rPr>
        <w:t>ΑΡΘΡΟ 12 :  ΚΗΡΥΞΗ ΟΙΚΟΝΟΜΙΚΟΥ ΦΟΡΕΑ ΕΚΠΤΩΤΟΥ –ΚΥΡΩΣΕΙΣ</w:t>
      </w:r>
      <w:bookmarkEnd w:id="293"/>
      <w:bookmarkEnd w:id="294"/>
      <w:bookmarkEnd w:id="295"/>
      <w:bookmarkEnd w:id="296"/>
      <w:r>
        <w:rPr>
          <w:rFonts w:ascii="Calibri" w:hAnsi="Calibri"/>
          <w:sz w:val="24"/>
          <w:szCs w:val="24"/>
          <w:lang w:val="el-GR"/>
        </w:rPr>
        <w:t xml:space="preserve"> </w:t>
      </w:r>
    </w:p>
    <w:p>
      <w:pPr>
        <w:pStyle w:val="Normal"/>
        <w:spacing w:lineRule="auto" w:line="276" w:before="0" w:after="0"/>
        <w:rPr>
          <w:rFonts w:cs="Tahoma"/>
          <w:sz w:val="24"/>
          <w:lang w:val="el-GR" w:eastAsia="el-GR"/>
        </w:rPr>
      </w:pPr>
      <w:r>
        <w:rPr>
          <w:rFonts w:cs="Tahoma"/>
          <w:sz w:val="24"/>
          <w:lang w:val="el-GR" w:eastAsia="el-GR"/>
        </w:rPr>
        <w:t>12.1.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w:t>
      </w:r>
    </w:p>
    <w:p>
      <w:pPr>
        <w:pStyle w:val="Normal"/>
        <w:spacing w:lineRule="auto" w:line="276" w:before="0" w:after="0"/>
        <w:rPr/>
      </w:pPr>
      <w:r>
        <w:rPr>
          <w:rFonts w:cs="Tahoma"/>
          <w:sz w:val="24"/>
          <w:lang w:val="el-GR" w:eastAsia="el-GR"/>
        </w:rPr>
        <w:t>12.2. (άρθρο 68 παρ. του ν. 3863/2010:… «7. Οταν οι ελεγκτικοί μηχανισμοί του Σώματος Επιθεώρησης Εργασίας (ΣΕΠΕ) και του ΙΚΑ-ΕΤΑΜ διαπιστώνουν παραβάσεις που αφορούν την αδήλωτη εργασία, την παράνομη απασχόληση αλλοδαπών ή παραβάσεις της εργατικής και ασφαλιστικής νομοθεσίας, ενημερώνουν εγγράφως την αναθέτουσα αρχή. Επίσης, ενημερώνουν εγγράφως την αναθέτουσα αρχή για τις πράξεις επιβολής προστίμου που αφορούν τις ανωτέρω διαπιστωθείσες παραβάσεις. Η πράξη επιβολής προστίμου στον εργολάβο για παραβάσεις της εργατικής νομοθεσίας που χαρακτηρίζονται από τις κείμενες διατάξεις ως «υψηλής» ή «πολύ υψηλής» σοβαρότητας για δεύτερη φορά κατά τη διάρκεια λειτουργίας της σύμβασης οδηγεί υποχρεωτικά στην καταγγελία της σύμβασης από την αναθέτουσα αρχή και στην κήρυξη του εργολάβου έκπτωτου.»]</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pacing w:lineRule="auto" w:line="276" w:before="0" w:after="0"/>
        <w:rPr>
          <w:rFonts w:cs="Tahoma"/>
          <w:sz w:val="24"/>
          <w:lang w:val="el-GR" w:eastAsia="el-GR"/>
        </w:rPr>
      </w:pPr>
      <w:r>
        <w:rPr>
          <w:rFonts w:cs="Tahoma"/>
          <w:sz w:val="24"/>
          <w:lang w:val="el-GR" w:eastAsia="el-GR"/>
        </w:rPr>
        <w:t xml:space="preserve">12.3.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pacing w:lineRule="auto" w:line="276" w:before="0" w:after="0"/>
        <w:rPr>
          <w:rFonts w:cs="Tahoma"/>
          <w:sz w:val="24"/>
          <w:lang w:val="el-GR" w:eastAsia="el-GR"/>
        </w:rPr>
      </w:pPr>
      <w:r>
        <w:rPr>
          <w:rFonts w:cs="Tahoma"/>
          <w:sz w:val="24"/>
          <w:lang w:val="el-GR" w:eastAsia="el-GR"/>
        </w:rPr>
        <w:t>12.4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Διακήρυξης.</w:t>
      </w:r>
    </w:p>
    <w:p>
      <w:pPr>
        <w:pStyle w:val="Normal"/>
        <w:suppressAutoHyphens w:val="false"/>
        <w:spacing w:lineRule="auto" w:line="276" w:before="0" w:after="0"/>
        <w:rPr>
          <w:rFonts w:eastAsia="Arial Unicode MS" w:cs="Tahoma"/>
          <w:b/>
          <w:b/>
          <w:sz w:val="24"/>
          <w:u w:val="single"/>
          <w:lang w:val="el-GR"/>
        </w:rPr>
      </w:pPr>
      <w:r>
        <w:rPr>
          <w:rFonts w:eastAsia="Arial Unicode MS" w:cs="Tahoma"/>
          <w:b/>
          <w:sz w:val="24"/>
          <w:u w:val="single"/>
          <w:lang w:val="el-GR"/>
        </w:rPr>
        <w:t>Οι ποινικές ρήτρες υπολογίζονται ως εξής:</w:t>
      </w:r>
    </w:p>
    <w:p>
      <w:pPr>
        <w:pStyle w:val="Normal"/>
        <w:suppressAutoHyphens w:val="false"/>
        <w:spacing w:lineRule="auto" w:line="276" w:before="0" w:after="0"/>
        <w:rPr>
          <w:rFonts w:eastAsia="Arial Unicode MS" w:cs="Tahoma"/>
          <w:sz w:val="24"/>
          <w:lang w:val="el-GR"/>
        </w:rPr>
      </w:pPr>
      <w:r>
        <w:rPr>
          <w:rFonts w:eastAsia="Arial Unicode MS" w:cs="Tahoma"/>
          <w:sz w:val="24"/>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pPr>
        <w:pStyle w:val="Normal"/>
        <w:suppressAutoHyphens w:val="false"/>
        <w:spacing w:lineRule="auto" w:line="276" w:before="0" w:after="0"/>
        <w:rPr>
          <w:rFonts w:eastAsia="Arial Unicode MS" w:cs="Tahoma"/>
          <w:sz w:val="24"/>
          <w:lang w:val="el-GR"/>
        </w:rPr>
      </w:pPr>
      <w:r>
        <w:rPr>
          <w:rFonts w:eastAsia="Arial Unicode MS" w:cs="Tahoma"/>
          <w:sz w:val="24"/>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pPr>
        <w:pStyle w:val="Normal"/>
        <w:suppressAutoHyphens w:val="false"/>
        <w:spacing w:lineRule="auto" w:line="276" w:before="0" w:after="0"/>
        <w:rPr>
          <w:rFonts w:eastAsia="Arial Unicode MS" w:cs="Tahoma"/>
          <w:sz w:val="24"/>
          <w:lang w:val="el-GR"/>
        </w:rPr>
      </w:pPr>
      <w:r>
        <w:rPr>
          <w:rFonts w:eastAsia="Arial Unicode MS" w:cs="Tahoma"/>
          <w:sz w:val="24"/>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pPr>
        <w:pStyle w:val="Standard"/>
        <w:spacing w:lineRule="auto" w:line="276"/>
        <w:jc w:val="both"/>
        <w:rPr>
          <w:rFonts w:ascii="Calibri" w:hAnsi="Calibri" w:eastAsia="Arial Unicode MS" w:cs="Tahoma"/>
          <w:kern w:val="0"/>
          <w:lang w:bidi="ar-SA"/>
        </w:rPr>
      </w:pPr>
      <w:r>
        <w:rPr>
          <w:rFonts w:eastAsia="Arial Unicode MS" w:cs="Tahoma" w:ascii="Calibri" w:hAnsi="Calibri"/>
          <w:kern w:val="0"/>
          <w:lang w:bidi="ar-SA"/>
        </w:rPr>
        <w:t>δ) Για πλημμελή εκτέλεση των συμβατικών υποχρεώσεων του Αναδόχου, θα επιβάλλεται ποινική ρήτρα ίση με ποσοστό 3% επί της μηνιαίας δαπάνης του Κτιρίου στο οποίο διαπιστώθηκε η πλημμέλεια. Το ποσοστό αυτό θα αφαιρείται από τη μηνιαία αμοιβή του Αναδόχου.</w:t>
      </w:r>
    </w:p>
    <w:p>
      <w:pPr>
        <w:pStyle w:val="Normal"/>
        <w:suppressAutoHyphens w:val="false"/>
        <w:spacing w:lineRule="auto" w:line="276" w:before="0" w:after="0"/>
        <w:rPr>
          <w:rFonts w:eastAsia="Arial Unicode MS" w:cs="Tahoma"/>
          <w:sz w:val="24"/>
          <w:lang w:val="el-GR"/>
        </w:rPr>
      </w:pPr>
      <w:r>
        <w:rPr>
          <w:rFonts w:eastAsia="Arial Unicode MS" w:cs="Tahoma"/>
          <w:sz w:val="24"/>
          <w:lang w:val="el-GR"/>
        </w:rPr>
      </w:r>
    </w:p>
    <w:p>
      <w:pPr>
        <w:pStyle w:val="Normal"/>
        <w:suppressAutoHyphens w:val="false"/>
        <w:spacing w:lineRule="auto" w:line="276" w:before="0" w:after="0"/>
        <w:rPr>
          <w:rFonts w:eastAsia="Arial Unicode MS" w:cs="Tahoma"/>
          <w:sz w:val="24"/>
          <w:lang w:val="el-GR"/>
        </w:rPr>
      </w:pPr>
      <w:r>
        <w:rPr>
          <w:rFonts w:eastAsia="Arial Unicode MS" w:cs="Tahoma"/>
          <w:sz w:val="24"/>
          <w:lang w:val="el-GR"/>
        </w:rPr>
        <w:t>Το ποσό των ποινικών ρητρών αφαιρείται/συμψηφίζεται από/με την αμοιβή του αναδόχου.</w:t>
      </w:r>
    </w:p>
    <w:p>
      <w:pPr>
        <w:pStyle w:val="Normal"/>
        <w:suppressAutoHyphens w:val="false"/>
        <w:spacing w:lineRule="auto" w:line="276" w:before="0" w:after="0"/>
        <w:rPr>
          <w:rFonts w:eastAsia="Arial Unicode MS" w:cs="Tahoma"/>
          <w:sz w:val="24"/>
          <w:lang w:val="el-GR"/>
        </w:rPr>
      </w:pPr>
      <w:r>
        <w:rPr>
          <w:rFonts w:eastAsia="Arial Unicode MS" w:cs="Tahoma"/>
          <w:sz w:val="24"/>
          <w:lang w:val="el-GR"/>
        </w:rPr>
      </w:r>
    </w:p>
    <w:p>
      <w:pPr>
        <w:pStyle w:val="Normal"/>
        <w:suppressAutoHyphens w:val="false"/>
        <w:spacing w:lineRule="auto" w:line="276" w:before="0" w:after="0"/>
        <w:rPr>
          <w:rFonts w:eastAsia="Arial Unicode MS" w:cs="Tahoma"/>
          <w:sz w:val="24"/>
          <w:lang w:val="el-GR"/>
        </w:rPr>
      </w:pPr>
      <w:r>
        <w:rPr>
          <w:rFonts w:eastAsia="Arial Unicode MS" w:cs="Tahoma"/>
          <w:sz w:val="24"/>
          <w:lang w:val="el-GR"/>
        </w:rPr>
        <w:t>Η επιβολή ποινικών ρητρών δεν στερεί από την αναθέτουσα αρχή το δικαίωμα να κηρύξει τον ανάδοχο έκπτωτο.</w:t>
      </w:r>
    </w:p>
    <w:p>
      <w:pPr>
        <w:pStyle w:val="2"/>
        <w:spacing w:lineRule="auto" w:line="276"/>
        <w:ind w:left="567" w:right="0" w:hanging="567"/>
        <w:rPr/>
      </w:pPr>
      <w:bookmarkStart w:id="297" w:name="__RefHeading___Toc35711_1890191151"/>
      <w:bookmarkStart w:id="298" w:name="_Toc138061930"/>
      <w:bookmarkStart w:id="299" w:name="_Toc75718039"/>
      <w:bookmarkStart w:id="300" w:name="_Toc75715006"/>
      <w:bookmarkStart w:id="301" w:name="_Toc138844713"/>
      <w:bookmarkEnd w:id="297"/>
      <w:r>
        <w:rPr>
          <w:rFonts w:ascii="Calibri" w:hAnsi="Calibri"/>
          <w:sz w:val="24"/>
          <w:szCs w:val="24"/>
          <w:lang w:val="el-GR"/>
        </w:rPr>
        <w:t>ΑΡΘΡΟ 13: ΤΡΟΠΟΠΟΙΗΣΗ ΣΥΜΒΑΣΗΣ ΚΑΤΑ ΤΗ ΔΙΑΡΚΕΙΑ ΤΗΣ</w:t>
      </w:r>
      <w:bookmarkEnd w:id="298"/>
      <w:bookmarkEnd w:id="299"/>
      <w:bookmarkEnd w:id="300"/>
      <w:bookmarkEnd w:id="301"/>
      <w:r>
        <w:rPr>
          <w:rFonts w:ascii="Calibri" w:hAnsi="Calibri"/>
          <w:sz w:val="24"/>
          <w:szCs w:val="24"/>
          <w:lang w:val="el-GR"/>
        </w:rPr>
        <w:t xml:space="preserve"> </w:t>
      </w:r>
    </w:p>
    <w:p>
      <w:pPr>
        <w:pStyle w:val="Normal"/>
        <w:suppressAutoHyphens w:val="false"/>
        <w:spacing w:lineRule="auto" w:line="276" w:before="0" w:after="0"/>
        <w:rPr>
          <w:rFonts w:cs="Tahoma"/>
          <w:sz w:val="24"/>
          <w:lang w:val="el-GR" w:eastAsia="el-GR"/>
        </w:rPr>
      </w:pPr>
      <w:r>
        <w:rPr>
          <w:rFonts w:cs="Tahoma"/>
          <w:sz w:val="24"/>
          <w:lang w:val="el-GR" w:eastAsia="el-GR"/>
        </w:rPr>
        <w:t>13.1.Η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Διακήρυξης.</w:t>
      </w:r>
    </w:p>
    <w:p>
      <w:pPr>
        <w:pStyle w:val="Normal"/>
        <w:suppressAutoHyphens w:val="false"/>
        <w:spacing w:lineRule="auto" w:line="276" w:before="0" w:after="0"/>
        <w:rPr>
          <w:rFonts w:cs="Tahoma"/>
          <w:sz w:val="24"/>
          <w:lang w:val="el-GR" w:eastAsia="el-GR"/>
        </w:rPr>
      </w:pPr>
      <w:r>
        <w:rPr>
          <w:rFonts w:cs="Tahoma"/>
          <w:sz w:val="24"/>
          <w:lang w:val="el-GR" w:eastAsia="el-GR"/>
        </w:rPr>
        <w:t>13.2. 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pPr>
        <w:pStyle w:val="2"/>
        <w:spacing w:lineRule="auto" w:line="276"/>
        <w:ind w:left="567" w:right="0" w:hanging="567"/>
        <w:rPr/>
      </w:pPr>
      <w:bookmarkStart w:id="302" w:name="__RefHeading___Toc35713_1890191151"/>
      <w:bookmarkStart w:id="303" w:name="_Toc138061931"/>
      <w:bookmarkStart w:id="304" w:name="_Toc75718040"/>
      <w:bookmarkStart w:id="305" w:name="_Toc75715007"/>
      <w:bookmarkStart w:id="306" w:name="_Toc138844714"/>
      <w:bookmarkEnd w:id="302"/>
      <w:r>
        <w:rPr>
          <w:rFonts w:ascii="Calibri" w:hAnsi="Calibri"/>
          <w:sz w:val="24"/>
          <w:szCs w:val="24"/>
          <w:lang w:val="el-GR"/>
        </w:rPr>
        <w:t>ΑΡΘΡΟ 14:   ΑΝΩΤΕΡΑ ΒΙΑ</w:t>
      </w:r>
      <w:bookmarkEnd w:id="303"/>
      <w:bookmarkEnd w:id="304"/>
      <w:bookmarkEnd w:id="305"/>
      <w:bookmarkEnd w:id="306"/>
      <w:r>
        <w:rPr>
          <w:rFonts w:ascii="Calibri" w:hAnsi="Calibri"/>
          <w:sz w:val="24"/>
          <w:szCs w:val="24"/>
          <w:lang w:val="el-GR"/>
        </w:rPr>
        <w:t xml:space="preserve"> </w:t>
      </w:r>
    </w:p>
    <w:p>
      <w:pPr>
        <w:pStyle w:val="Normal"/>
        <w:spacing w:lineRule="auto" w:line="276" w:before="0" w:after="0"/>
        <w:rPr>
          <w:rFonts w:cs="Tahoma"/>
          <w:sz w:val="24"/>
          <w:lang w:val="el-GR" w:eastAsia="el-GR"/>
        </w:rPr>
      </w:pPr>
      <w:r>
        <w:rPr>
          <w:rFonts w:cs="Tahoma"/>
          <w:sz w:val="24"/>
          <w:lang w:val="el-GR" w:eastAsia="el-GR"/>
        </w:rPr>
        <w:t xml:space="preserve">14.1. 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pacing w:lineRule="auto" w:line="276" w:before="0" w:after="0"/>
        <w:rPr/>
      </w:pPr>
      <w:r>
        <w:rPr>
          <w:rFonts w:cs="Tahoma"/>
          <w:sz w:val="24"/>
          <w:lang w:val="el-GR" w:eastAsia="el-GR"/>
        </w:rPr>
        <w:t>14.2.</w:t>
      </w:r>
      <w:r>
        <w:rPr>
          <w:rFonts w:cs="Tahoma"/>
          <w:sz w:val="24"/>
          <w:lang w:val="el-GR"/>
        </w:rPr>
        <w:t xml:space="preserve"> </w:t>
      </w:r>
      <w:r>
        <w:rPr>
          <w:rFonts w:cs="Tahoma"/>
          <w:sz w:val="24"/>
          <w:lang w:val="el-GR" w:eastAsia="el-GR"/>
        </w:rPr>
        <w:t xml:space="preserve">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(άρθρο 204 του Ν. 4412/2016). Η Αναθέτουσα Αρχή αποφασίζει μετά από γνωμοδότηση του αρμόδιου για αυτό οργάνου. </w:t>
      </w:r>
    </w:p>
    <w:p>
      <w:pPr>
        <w:pStyle w:val="Normal"/>
        <w:suppressAutoHyphens w:val="false"/>
        <w:spacing w:lineRule="auto" w:line="276" w:before="0" w:after="0"/>
        <w:rPr>
          <w:rFonts w:cs="Tahoma"/>
          <w:sz w:val="24"/>
          <w:lang w:val="el-GR" w:eastAsia="el-GR"/>
        </w:rPr>
      </w:pPr>
      <w:r>
        <w:rPr>
          <w:rFonts w:cs="Tahoma"/>
          <w:sz w:val="24"/>
          <w:lang w:val="el-GR" w:eastAsia="el-GR"/>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pPr>
        <w:pStyle w:val="2"/>
        <w:spacing w:lineRule="auto" w:line="276"/>
        <w:ind w:left="567" w:right="0" w:hanging="567"/>
        <w:rPr/>
      </w:pPr>
      <w:bookmarkStart w:id="307" w:name="__RefHeading___Toc35715_1890191151"/>
      <w:bookmarkStart w:id="308" w:name="_Toc138061932"/>
      <w:bookmarkStart w:id="309" w:name="_Toc75718041"/>
      <w:bookmarkStart w:id="310" w:name="_Toc75715008"/>
      <w:bookmarkStart w:id="311" w:name="_Toc138844715"/>
      <w:bookmarkEnd w:id="307"/>
      <w:r>
        <w:rPr>
          <w:rFonts w:ascii="Calibri" w:hAnsi="Calibri"/>
          <w:sz w:val="24"/>
          <w:szCs w:val="24"/>
          <w:lang w:val="el-GR"/>
        </w:rPr>
        <w:t>ΑΡΘΡΟ 15 : ΟΛΟΚΛΗΡΩΣΗ ΣΥΜΒΑΤΙΚΟΥ ΑΝΤΙΚΕΙΜΕΝΟΥ</w:t>
      </w:r>
      <w:bookmarkEnd w:id="308"/>
      <w:bookmarkEnd w:id="309"/>
      <w:bookmarkEnd w:id="310"/>
      <w:bookmarkEnd w:id="311"/>
      <w:r>
        <w:rPr>
          <w:rFonts w:ascii="Calibri" w:hAnsi="Calibri"/>
          <w:sz w:val="24"/>
          <w:szCs w:val="24"/>
          <w:lang w:val="el-GR"/>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76" w:before="0" w:after="0"/>
        <w:rPr>
          <w:rFonts w:cs="Tahoma"/>
          <w:color w:val="000000"/>
          <w:sz w:val="24"/>
          <w:lang w:val="el-GR" w:eastAsia="el-GR"/>
        </w:rPr>
      </w:pPr>
      <w:r>
        <w:rPr>
          <w:rFonts w:cs="Tahoma"/>
          <w:color w:val="000000"/>
          <w:sz w:val="24"/>
          <w:lang w:val="el-GR" w:eastAsia="el-GR"/>
        </w:rPr>
        <w:t>Η σύμβαση θεωρείται ότι εκτελέστηκε όταν συντρέχουν οι εξής προϋποθέσεις: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76" w:before="0" w:after="0"/>
        <w:rPr>
          <w:rFonts w:cs="Tahoma"/>
          <w:color w:val="000000"/>
          <w:sz w:val="24"/>
          <w:lang w:val="el-GR" w:eastAsia="el-GR"/>
        </w:rPr>
      </w:pPr>
      <w:r>
        <w:rPr>
          <w:rFonts w:cs="Tahoma"/>
          <w:color w:val="000000"/>
          <w:sz w:val="24"/>
          <w:lang w:val="el-GR" w:eastAsia="el-GR"/>
        </w:rPr>
        <w:t>α) Σε περίπτωση προμήθειας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σύνολο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76" w:before="0" w:after="0"/>
        <w:rPr>
          <w:rFonts w:cs="Tahoma"/>
          <w:color w:val="000000"/>
          <w:sz w:val="24"/>
          <w:lang w:val="el-GR" w:eastAsia="el-GR"/>
        </w:rPr>
      </w:pPr>
      <w:r>
        <w:rPr>
          <w:rFonts w:cs="Tahoma"/>
          <w:color w:val="000000"/>
          <w:sz w:val="24"/>
          <w:lang w:val="el-GR" w:eastAsia="el-GR"/>
        </w:rPr>
        <w:t xml:space="preserve">β) Παραλήφθηκαν οριστικά ποσοτικά και ποιοτικά τα υλικά ή οι υπηρεσίες που παραδόθηκαν. </w:t>
        <w:br/>
        <w:t xml:space="preserve">γ) Έγινε η αποπληρωμή του συμβατικού τιμήματος, αφού προηγουμένως επιβλήθηκαν κυρώσεις ή εκπτώσεις και </w:t>
      </w:r>
    </w:p>
    <w:p>
      <w:pPr>
        <w:pStyle w:val="Normal"/>
        <w:suppressAutoHyphens w:val="false"/>
        <w:spacing w:lineRule="auto" w:line="276" w:before="0" w:after="0"/>
        <w:rPr>
          <w:rFonts w:cs="Tahoma"/>
          <w:color w:val="000000"/>
          <w:sz w:val="24"/>
          <w:lang w:val="el-GR" w:eastAsia="el-GR"/>
        </w:rPr>
      </w:pPr>
      <w:r>
        <w:rPr>
          <w:rFonts w:cs="Tahoma"/>
          <w:color w:val="000000"/>
          <w:sz w:val="24"/>
          <w:lang w:val="el-GR" w:eastAsia="el-GR"/>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pPr>
        <w:pStyle w:val="2"/>
        <w:spacing w:lineRule="auto" w:line="276"/>
        <w:ind w:left="567" w:right="0" w:hanging="567"/>
        <w:rPr/>
      </w:pPr>
      <w:bookmarkStart w:id="312" w:name="__RefHeading___Toc35717_1890191151"/>
      <w:bookmarkStart w:id="313" w:name="_Toc138061933"/>
      <w:bookmarkStart w:id="314" w:name="_Toc75718042"/>
      <w:bookmarkStart w:id="315" w:name="_Toc75715009"/>
      <w:bookmarkStart w:id="316" w:name="_Toc138844716"/>
      <w:bookmarkEnd w:id="312"/>
      <w:r>
        <w:rPr>
          <w:rFonts w:ascii="Calibri" w:hAnsi="Calibri"/>
          <w:sz w:val="24"/>
          <w:szCs w:val="24"/>
          <w:lang w:val="el-GR"/>
        </w:rPr>
        <w:t>ΑΡΘΡΟ 16 : ΔΙΚΑΙΩΜΑ ΜΟΝΟΜΕΡΟΥΣ ΛΥΣΗΣ ΤΗΣ ΣΥΜΒΑΣΗΣ</w:t>
      </w:r>
      <w:bookmarkEnd w:id="313"/>
      <w:bookmarkEnd w:id="314"/>
      <w:bookmarkEnd w:id="315"/>
      <w:bookmarkEnd w:id="316"/>
      <w:r>
        <w:rPr>
          <w:rFonts w:ascii="Calibri" w:hAnsi="Calibri"/>
          <w:sz w:val="24"/>
          <w:szCs w:val="24"/>
          <w:lang w:val="el-GR"/>
        </w:rPr>
        <w:t xml:space="preserve"> </w:t>
      </w:r>
    </w:p>
    <w:p>
      <w:pPr>
        <w:pStyle w:val="Normal"/>
        <w:spacing w:lineRule="auto" w:line="276" w:before="0" w:after="0"/>
        <w:rPr>
          <w:rFonts w:cs="Tahoma"/>
          <w:sz w:val="24"/>
          <w:lang w:val="el-GR" w:eastAsia="ar-SA"/>
        </w:rPr>
      </w:pPr>
      <w:r>
        <w:rPr>
          <w:rFonts w:cs="Tahoma"/>
          <w:sz w:val="24"/>
          <w:lang w:val="el-GR" w:eastAsia="ar-SA"/>
        </w:rPr>
        <w:t>16.1.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pPr>
        <w:pStyle w:val="Normal"/>
        <w:spacing w:lineRule="auto" w:line="276" w:before="0" w:after="0"/>
        <w:rPr/>
      </w:pPr>
      <w:r>
        <w:rPr>
          <w:rFonts w:cs="Tahoma"/>
          <w:b/>
          <w:sz w:val="24"/>
          <w:lang w:val="el-GR" w:eastAsia="ar-SA"/>
        </w:rPr>
        <w:t>α) η σύμβαση υποστεί ουσιώδη τροποποίηση</w:t>
      </w:r>
      <w:r>
        <w:rPr>
          <w:rFonts w:cs="Tahoma"/>
          <w:sz w:val="24"/>
          <w:lang w:val="el-GR" w:eastAsia="ar-SA"/>
        </w:rPr>
        <w:t xml:space="preserve">, κατά την έννοια της παρ. 4 του άρθρου 132 του ν. 4412/2016, που θα απαιτούσε νέα διαδικασία σύναψης σύμβασης </w:t>
      </w:r>
    </w:p>
    <w:p>
      <w:pPr>
        <w:pStyle w:val="Normal"/>
        <w:spacing w:lineRule="auto" w:line="276" w:before="0" w:after="0"/>
        <w:rPr/>
      </w:pPr>
      <w:r>
        <w:rPr>
          <w:rFonts w:cs="Tahoma"/>
          <w:b/>
          <w:sz w:val="24"/>
          <w:lang w:val="el-GR" w:eastAsia="ar-SA"/>
        </w:rPr>
        <w:t>β) ο ανάδοχος, κατά το χρόνο της ανάθεσης της σύμβασης, τελούσε</w:t>
      </w:r>
      <w:r>
        <w:rPr>
          <w:rFonts w:cs="Tahoma"/>
          <w:sz w:val="24"/>
          <w:lang w:val="el-GR" w:eastAsia="ar-SA"/>
        </w:rPr>
        <w:t xml:space="preserve"> σε μια από τις καταστάσεις που αναφέρονται στην παράγραφο 2.2.3.1 της διακήρυξης και, ως εκ τούτου, θα έπρεπε να έχει αποκλειστεί από τη διαδικασία σύναψης της σύμβασης,</w:t>
      </w:r>
    </w:p>
    <w:p>
      <w:pPr>
        <w:pStyle w:val="Normal"/>
        <w:spacing w:lineRule="auto" w:line="276" w:before="0" w:after="0"/>
        <w:rPr/>
      </w:pPr>
      <w:r>
        <w:rPr>
          <w:rFonts w:cs="Tahoma"/>
          <w:b/>
          <w:sz w:val="24"/>
          <w:lang w:val="el-GR" w:eastAsia="ar-SA"/>
        </w:rPr>
        <w:t>γ) η σύμβαση δεν έπρεπε να ανατεθεί στον ανάδοχο λόγω σοβαρής παραβίασης</w:t>
      </w:r>
      <w:r>
        <w:rPr>
          <w:rFonts w:cs="Tahoma"/>
          <w:sz w:val="24"/>
          <w:lang w:val="el-GR" w:eastAsia="ar-SA"/>
        </w:rPr>
        <w:t xml:space="preserve">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pPr>
        <w:pStyle w:val="Normal"/>
        <w:suppressAutoHyphens w:val="false"/>
        <w:spacing w:lineRule="auto" w:line="276" w:before="0" w:after="0"/>
        <w:rPr/>
      </w:pPr>
      <w:r>
        <w:rPr>
          <w:rFonts w:cs="Tahoma"/>
          <w:b/>
          <w:bCs/>
          <w:color w:val="000000"/>
          <w:sz w:val="24"/>
          <w:lang w:val="el-GR" w:eastAsia="el-GR"/>
        </w:rPr>
        <w:t>δ) ο ανάδοχος καταδικαστεί αμετάκλητα</w:t>
      </w:r>
      <w:r>
        <w:rPr>
          <w:rFonts w:cs="Tahoma"/>
          <w:color w:val="000000"/>
          <w:sz w:val="24"/>
          <w:lang w:val="el-GR" w:eastAsia="el-GR"/>
        </w:rPr>
        <w:t xml:space="preserve">, κατά τη διάρκεια εκτέλεσης της σύμβασης, για ένα από τα αδικήματα που αναφέρονται στην παράγραφο 1 του άρθρου 73 του Ν.4412/16, όπως τροποποιήθηκε και ισχύει, </w:t>
      </w:r>
    </w:p>
    <w:p>
      <w:pPr>
        <w:pStyle w:val="Normal"/>
        <w:suppressAutoHyphens w:val="false"/>
        <w:spacing w:lineRule="auto" w:line="276" w:before="0" w:after="0"/>
        <w:rPr/>
      </w:pPr>
      <w:r>
        <w:rPr>
          <w:rFonts w:cs="Tahoma"/>
          <w:b/>
          <w:bCs/>
          <w:color w:val="000000"/>
          <w:sz w:val="24"/>
          <w:lang w:val="el-GR" w:eastAsia="el-GR"/>
        </w:rPr>
        <w:t xml:space="preserve">ε) ο ανάδοχος πτωχεύσει </w:t>
      </w:r>
      <w:r>
        <w:rPr>
          <w:rFonts w:cs="Tahoma"/>
          <w:color w:val="000000"/>
          <w:sz w:val="24"/>
          <w:lang w:val="el-GR" w:eastAsia="el-GR"/>
        </w:rPr>
        <w:t xml:space="preserve">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pPr>
        <w:pStyle w:val="Normal"/>
        <w:suppressAutoHyphens w:val="false"/>
        <w:spacing w:lineRule="auto" w:line="276" w:before="0" w:after="0"/>
        <w:rPr>
          <w:rFonts w:cs="Tahoma"/>
          <w:color w:val="000000"/>
          <w:sz w:val="24"/>
          <w:lang w:val="el-GR" w:eastAsia="el-GR"/>
        </w:rPr>
      </w:pPr>
      <w:r>
        <w:rPr>
          <w:rFonts w:cs="Tahoma"/>
          <w:color w:val="000000"/>
          <w:sz w:val="24"/>
          <w:lang w:val="el-GR" w:eastAsia="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pPr>
        <w:pStyle w:val="Normal"/>
        <w:spacing w:lineRule="auto" w:line="276" w:before="0" w:after="0"/>
        <w:rPr/>
      </w:pPr>
      <w:r>
        <w:rPr>
          <w:rFonts w:cs="Tahoma"/>
          <w:b/>
          <w:bCs/>
          <w:color w:val="000000"/>
          <w:sz w:val="24"/>
          <w:lang w:val="el-GR" w:eastAsia="el-GR"/>
        </w:rPr>
        <w:t xml:space="preserve">στ) ο ανάδοχος παραβεί αποδεδειγμένα τις υποχρεώσεις του </w:t>
      </w:r>
      <w:r>
        <w:rPr>
          <w:rFonts w:cs="Tahoma"/>
          <w:color w:val="000000"/>
          <w:sz w:val="24"/>
          <w:lang w:val="el-GR" w:eastAsia="el-GR"/>
        </w:rPr>
        <w:t>που απορρέουν από την δέσμευση ακεραιότητας, ως αναλυτικά περιγράφονται στο συνημμένο στην παρούσα σχέδιο σύμβασης.</w:t>
      </w:r>
    </w:p>
    <w:p>
      <w:pPr>
        <w:pStyle w:val="Normal"/>
        <w:spacing w:lineRule="auto" w:line="276" w:before="0" w:after="0"/>
        <w:rPr>
          <w:rFonts w:cs="Tahoma"/>
          <w:b/>
          <w:b/>
          <w:sz w:val="24"/>
          <w:lang w:val="el-GR" w:eastAsia="el-GR"/>
        </w:rPr>
      </w:pPr>
      <w:r>
        <w:rPr>
          <w:rFonts w:cs="Tahoma"/>
          <w:b/>
          <w:sz w:val="24"/>
          <w:lang w:val="el-GR" w:eastAsia="el-GR"/>
        </w:rPr>
        <w:t>Η Αναθέτουσα Αρχή μπορεί να καταγγείλει τη σύμβαση κατά τη διάρκεια της εκτέλεσής της, εάν η επιτροπή παρακολούθησης της εκτέλεσης της παρούσας διαπιστώσει παραβάσεις των όρων του άρθρου 68 του ν. 3863/2010 (Α΄ 115).</w:t>
      </w:r>
    </w:p>
    <w:p>
      <w:pPr>
        <w:pStyle w:val="Standard"/>
        <w:widowControl/>
        <w:spacing w:lineRule="auto" w:line="276"/>
        <w:jc w:val="both"/>
        <w:rPr>
          <w:rFonts w:ascii="Calibri" w:hAnsi="Calibri" w:eastAsia="Times New Roman"/>
          <w:color w:val="000000"/>
          <w:lang w:eastAsia="el-GR"/>
        </w:rPr>
      </w:pPr>
      <w:r>
        <w:rPr>
          <w:rFonts w:eastAsia="Times New Roman" w:ascii="Calibri" w:hAnsi="Calibri"/>
          <w:color w:val="000000"/>
          <w:lang w:eastAsia="el-GR"/>
        </w:rPr>
        <w:t xml:space="preserve">16.2. Σε περίπτωση κατάργησης ή συρρίκνωσης ή μετεγκατάστασης υπηρεσιών, λόγω συγχώνευσης ή λύσης της μίσθωσης ή ανάθεσης καθηκόντων σε μόνιμο ή έκτακτο υπαλληλικό προσωπικό καθαριότητας της Αναθέτουσας Αρχής κλάδου ΥΕ-προσωπικό καθαριότητας και σε κάθε εν γένει περίπτωση αλλαγής των χώρων ή µη χρήσης αυτών από την Αναθέτουσα Αρχή,η Αναθέτουσα Αρχή, έχει το δικαίωμα να χρησιμοποιήσει το προσωπικό του Αναδόχου σύμφωνα με τις ανάγκες που τυχόν θα προκύψουν στα νέα κτίρια ή στα ήδη υπάρχοντα, ή να διακόψει εν μέρει τις υπηρεσίες καθαριότητας, χωρίς οποιαδήποτε αξίωση αποζημίωσης από τον Ανάδοχο, ανεξαρτήτως του εναπομένοντος χρόνου αυτής. Στην περίπτωση διακοπής των υπηρεσιών, η Αναθέτουσα Αρχή θα καταβάλλει μηνιαία αμοιβή στον Ανάδοχο, μειωμένη κατά το ποσό που αντιστοιχεί στους χώρους στους οποίους θα διακοπεί ο καθαρισμός. </w:t>
      </w:r>
    </w:p>
    <w:p>
      <w:pPr>
        <w:pStyle w:val="Standard"/>
        <w:widowControl/>
        <w:spacing w:lineRule="auto" w:line="276"/>
        <w:jc w:val="both"/>
        <w:rPr/>
      </w:pPr>
      <w:r>
        <w:rPr>
          <w:rFonts w:eastAsia="Times New Roman" w:ascii="Calibri" w:hAnsi="Calibri"/>
          <w:color w:val="000000"/>
          <w:lang w:eastAsia="el-GR"/>
        </w:rPr>
        <w:t>Σε περίπτωση που με την έναρξη παροχής των υπηρεσιών καθαριότητας, σε οποιοδήποτε Κτίριο, εξακολουθεί να είναι σε ισχύ σύμβαση ορισμένου χρόνου με υπάλληλο κλάδου ΥΕ-προσωπικό καθαριότητας και για όσο χρονικό διάστημα διαρκεί αυτή, η Αναθέτουσα Αρχή δύναται, με βάση τις ανάγκες της, να μειώσει τις ώρες παροχής υπηρεσιών και να καταβάλλει το αντίστοιχο μειωμένο τίμημα στον Ανάδοχο.</w:t>
      </w:r>
    </w:p>
    <w:p>
      <w:pPr>
        <w:pStyle w:val="Standard"/>
        <w:spacing w:lineRule="auto" w:line="276"/>
        <w:jc w:val="both"/>
        <w:rPr>
          <w:rFonts w:ascii="Calibri" w:hAnsi="Calibri" w:eastAsia="Times New Roman"/>
          <w:color w:val="000000"/>
          <w:lang w:eastAsia="el-GR"/>
        </w:rPr>
      </w:pPr>
      <w:r>
        <w:rPr>
          <w:rFonts w:eastAsia="Times New Roman" w:ascii="Calibri" w:hAnsi="Calibri"/>
          <w:color w:val="000000"/>
          <w:lang w:eastAsia="el-GR"/>
        </w:rPr>
        <w:t>Οποιαδήποτε εκ των άνω μεταβολή επέλθει, η Αναθέτουσα Αρχή θα ενημερώνει τον Ανάδοχο εγκαίρως.</w:t>
      </w:r>
    </w:p>
    <w:p>
      <w:pPr>
        <w:pStyle w:val="Normal"/>
        <w:spacing w:lineRule="auto" w:line="276" w:before="0" w:after="0"/>
        <w:rPr>
          <w:rFonts w:cs="Tahoma"/>
          <w:sz w:val="24"/>
          <w:lang w:val="el-GR" w:eastAsia="ar-SA"/>
        </w:rPr>
      </w:pPr>
      <w:r>
        <w:rPr>
          <w:rFonts w:cs="Tahoma"/>
          <w:sz w:val="24"/>
          <w:lang w:val="el-GR" w:eastAsia="ar-SA"/>
        </w:rPr>
      </w:r>
    </w:p>
    <w:p>
      <w:pPr>
        <w:pStyle w:val="2"/>
        <w:spacing w:lineRule="auto" w:line="276"/>
        <w:ind w:left="567" w:right="0" w:hanging="567"/>
        <w:rPr>
          <w:rFonts w:ascii="Calibri" w:hAnsi="Calibri"/>
          <w:sz w:val="24"/>
          <w:szCs w:val="24"/>
          <w:lang w:val="el-GR"/>
        </w:rPr>
      </w:pPr>
      <w:bookmarkStart w:id="317" w:name="__RefHeading___Toc35719_1890191151"/>
      <w:bookmarkStart w:id="318" w:name="_Toc138061934"/>
      <w:bookmarkStart w:id="319" w:name="_Toc75718043"/>
      <w:bookmarkStart w:id="320" w:name="_Toc75715010"/>
      <w:bookmarkStart w:id="321" w:name="_Toc138844717"/>
      <w:bookmarkEnd w:id="317"/>
      <w:r>
        <w:rPr>
          <w:rFonts w:ascii="Calibri" w:hAnsi="Calibri"/>
          <w:sz w:val="24"/>
          <w:szCs w:val="24"/>
          <w:lang w:val="el-GR"/>
        </w:rPr>
        <w:t>ΑΡΘΡΟ 17: ΕΚΧΩΡΗΣΕΙΣ-ΜΕΤΑΒΙΒΑΣΕΙΣ</w:t>
      </w:r>
      <w:bookmarkEnd w:id="318"/>
      <w:bookmarkEnd w:id="319"/>
      <w:bookmarkEnd w:id="320"/>
      <w:bookmarkEnd w:id="321"/>
    </w:p>
    <w:p>
      <w:pPr>
        <w:pStyle w:val="Normal"/>
        <w:spacing w:lineRule="auto" w:line="276" w:before="0" w:after="0"/>
        <w:contextualSpacing/>
        <w:rPr>
          <w:rFonts w:cs="Tahoma"/>
          <w:sz w:val="24"/>
          <w:lang w:val="el-GR"/>
        </w:rPr>
      </w:pPr>
      <w:r>
        <w:rPr>
          <w:rFonts w:cs="Tahoma"/>
          <w:sz w:val="24"/>
          <w:lang w:val="el-GR"/>
        </w:rPr>
        <w:t xml:space="preserve">17.1. Οι συμβαλλόμενοι δεν δικαιούνται να μεταβιβάσουν ή εκχωρήσουν ολικά ή μερικά τη Σύμβαση ή τις εξ αυτής πηγάζουσες υποχρεώσεις ή δικαιώματά τους προς οιονδήποτε χωρίς την προηγούμενη ρητή έγγραφη συναίνεση του άλλου. </w:t>
      </w:r>
    </w:p>
    <w:p>
      <w:pPr>
        <w:pStyle w:val="Normal"/>
        <w:spacing w:lineRule="auto" w:line="276" w:before="0" w:after="0"/>
        <w:contextualSpacing/>
        <w:rPr/>
      </w:pPr>
      <w:r>
        <w:rPr>
          <w:rFonts w:cs="Tahoma"/>
          <w:sz w:val="24"/>
          <w:lang w:val="el-GR"/>
        </w:rPr>
        <w:t xml:space="preserve">17.2. Κατ’ εξαίρεση ο Ανάδοχος </w:t>
      </w:r>
      <w:r>
        <w:rPr>
          <w:rFonts w:cs="Tahoma"/>
          <w:b/>
          <w:sz w:val="24"/>
          <w:lang w:val="el-GR"/>
        </w:rPr>
        <w:t>δικαιούται να εκχωρήσει το δικαίωμα είσπραξης χρηματικών ποσών</w:t>
      </w:r>
      <w:r>
        <w:rPr>
          <w:rFonts w:cs="Tahoma"/>
          <w:sz w:val="24"/>
          <w:lang w:val="el-GR"/>
        </w:rPr>
        <w:t xml:space="preserve"> καταβλητέων από την Αναθέτουσα Αρχή με βάση τους όρους της Σύμβασης, σε Τράπεζα της επιλογής του, που λειτουργεί στην Ελλάδα.</w:t>
      </w:r>
    </w:p>
    <w:p>
      <w:pPr>
        <w:pStyle w:val="2"/>
        <w:spacing w:lineRule="auto" w:line="276"/>
        <w:ind w:left="567" w:right="0" w:hanging="567"/>
        <w:rPr/>
      </w:pPr>
      <w:bookmarkStart w:id="322" w:name="__RefHeading___Toc35721_1890191151"/>
      <w:bookmarkStart w:id="323" w:name="_Toc138061935"/>
      <w:bookmarkStart w:id="324" w:name="_Toc75718044"/>
      <w:bookmarkStart w:id="325" w:name="_Toc75715011"/>
      <w:bookmarkStart w:id="326" w:name="_Toc138844718"/>
      <w:bookmarkEnd w:id="322"/>
      <w:r>
        <w:rPr>
          <w:rFonts w:ascii="Calibri" w:hAnsi="Calibri"/>
          <w:sz w:val="24"/>
          <w:szCs w:val="24"/>
          <w:lang w:val="el-GR"/>
        </w:rPr>
        <w:t>ΑΡΘΡΟ 18 : ΕΦΑΡΜΟΣΤΕΟ ΔΙΚΑΙΟ</w:t>
      </w:r>
      <w:bookmarkEnd w:id="323"/>
      <w:bookmarkEnd w:id="324"/>
      <w:bookmarkEnd w:id="325"/>
      <w:bookmarkEnd w:id="326"/>
      <w:r>
        <w:rPr>
          <w:rFonts w:ascii="Calibri" w:hAnsi="Calibri"/>
          <w:sz w:val="24"/>
          <w:szCs w:val="24"/>
          <w:lang w:val="el-GR"/>
        </w:rPr>
        <w:t xml:space="preserve">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18.1. Η παρούσα διέπεται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pPr>
        <w:pStyle w:val="Normal"/>
        <w:spacing w:lineRule="auto" w:line="276" w:before="0" w:after="0"/>
        <w:rPr>
          <w:rFonts w:cs="Tahoma"/>
          <w:sz w:val="24"/>
          <w:lang w:val="el-GR" w:eastAsia="el-GR"/>
        </w:rPr>
      </w:pPr>
      <w:r>
        <w:rPr>
          <w:rFonts w:cs="Tahoma"/>
          <w:sz w:val="24"/>
          <w:lang w:val="el-GR" w:eastAsia="el-GR"/>
        </w:rPr>
        <w:t xml:space="preserve">18.2.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-Κυρώσεις), 6.1. (Χρόνος επιμέρους σταδίων παροχής υπηρεσιών/υποβολής παραδοτέων), 6.4. (Απόρριψη παραδοτέων –αντικατάσταση), μπορεί να ασκήσει τα δικαιώματα που του αναγνωρίζονται και υπό τις προϋποθέσεις και έννομες συνέπειες που ορίζονται στο άρθρο 5.3. της Διακήρυξης.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18.3.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 </w:t>
      </w:r>
    </w:p>
    <w:p>
      <w:pPr>
        <w:pStyle w:val="Normal"/>
        <w:spacing w:lineRule="auto" w:line="276" w:before="0" w:after="0"/>
        <w:contextualSpacing/>
        <w:rPr>
          <w:rFonts w:cs="Tahoma"/>
          <w:b/>
          <w:b/>
          <w:sz w:val="24"/>
          <w:lang w:val="el-GR"/>
        </w:rPr>
      </w:pPr>
      <w:r>
        <w:rPr>
          <w:rFonts w:cs="Tahoma"/>
          <w:b/>
          <w:sz w:val="24"/>
          <w:lang w:val="el-GR"/>
        </w:rPr>
      </w:r>
    </w:p>
    <w:p>
      <w:pPr>
        <w:pStyle w:val="2"/>
        <w:tabs>
          <w:tab w:val="clear" w:pos="567"/>
          <w:tab w:val="left" w:pos="0" w:leader="none"/>
        </w:tabs>
        <w:spacing w:lineRule="auto" w:line="276"/>
        <w:ind w:left="0" w:right="0" w:hanging="0"/>
        <w:rPr/>
      </w:pPr>
      <w:bookmarkStart w:id="327" w:name="__RefHeading___Toc35723_1890191151"/>
      <w:bookmarkEnd w:id="327"/>
      <w:r>
        <w:rPr>
          <w:rFonts w:ascii="Calibri" w:hAnsi="Calibri"/>
          <w:sz w:val="24"/>
          <w:szCs w:val="24"/>
          <w:lang w:val="el-GR"/>
        </w:rPr>
        <w:t xml:space="preserve">ΑΡΘΡΟ 19 : ΣΥΜΜΟΡΦΩΣΗ ΜΕ ΤΟΝ ΚΑΝΟΝΙΣΜΟ </w:t>
      </w:r>
      <w:r>
        <w:rPr>
          <w:rFonts w:ascii="Calibri" w:hAnsi="Calibri"/>
          <w:sz w:val="24"/>
          <w:szCs w:val="24"/>
          <w:lang w:val="el-GR" w:eastAsia="el-GR"/>
        </w:rPr>
        <w:t>ΕΕ/2016/2019 ΚΑΙ ΤΟ Ν. 4624/2019 (Α 137)</w:t>
      </w:r>
      <w:bookmarkStart w:id="328" w:name="_Toc138844719"/>
      <w:bookmarkStart w:id="329" w:name="_Toc138061936"/>
      <w:bookmarkStart w:id="330" w:name="_Toc75718045"/>
      <w:bookmarkStart w:id="331" w:name="_Toc75715012"/>
      <w:bookmarkEnd w:id="328"/>
      <w:bookmarkEnd w:id="329"/>
      <w:bookmarkEnd w:id="330"/>
      <w:bookmarkEnd w:id="331"/>
      <w:r>
        <w:rPr>
          <w:rStyle w:val="Style14"/>
          <w:rStyle w:val="Style14"/>
          <w:rFonts w:ascii="Calibri" w:hAnsi="Calibri"/>
          <w:sz w:val="24"/>
          <w:szCs w:val="24"/>
          <w:lang w:val="el-GR" w:eastAsia="el-GR"/>
        </w:rPr>
        <w:footnoteReference w:id="107"/>
      </w:r>
      <w:r>
        <w:rPr>
          <w:rFonts w:ascii="Calibri" w:hAnsi="Calibri"/>
          <w:sz w:val="24"/>
          <w:szCs w:val="24"/>
          <w:lang w:val="el-GR" w:eastAsia="el-GR"/>
        </w:rPr>
        <w:t xml:space="preserve">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και του Ν. 4624/2019. </w:t>
      </w:r>
    </w:p>
    <w:p>
      <w:pPr>
        <w:pStyle w:val="Normal"/>
        <w:suppressAutoHyphens w:val="false"/>
        <w:spacing w:lineRule="auto" w:line="276" w:before="0" w:after="0"/>
        <w:rPr>
          <w:rFonts w:cs="Tahoma"/>
          <w:sz w:val="24"/>
          <w:lang w:val="el-GR" w:eastAsia="el-GR"/>
        </w:rPr>
      </w:pPr>
      <w:r>
        <w:rPr>
          <w:rFonts w:cs="Tahoma"/>
          <w:sz w:val="24"/>
          <w:lang w:val="el-GR" w:eastAsia="el-GR"/>
        </w:rPr>
        <w:t>Ειδικότερα:</w:t>
      </w:r>
    </w:p>
    <w:p>
      <w:pPr>
        <w:pStyle w:val="Normal"/>
        <w:suppressAutoHyphens w:val="false"/>
        <w:spacing w:lineRule="auto" w:line="276" w:before="0" w:after="0"/>
        <w:rPr/>
      </w:pPr>
      <w:r>
        <w:rPr>
          <w:rFonts w:cs="Tahoma"/>
          <w:b/>
          <w:sz w:val="24"/>
          <w:lang w:val="el-GR" w:eastAsia="el-GR"/>
        </w:rPr>
        <w:t>Α)</w:t>
      </w:r>
      <w:r>
        <w:rPr>
          <w:rFonts w:cs="Tahoma"/>
          <w:sz w:val="24"/>
          <w:lang w:val="el-GR" w:eastAsia="el-GR"/>
        </w:rPr>
        <w:t xml:space="preserve"> Ως προς την επεξεργασία από την Αναθέτουσα Αρχή των προσωπικών δεδομένων του Αναδόχου συμπεριλαμβανομένων των προστηθέντων</w:t>
      </w:r>
      <w:r>
        <w:rPr>
          <w:rFonts w:cs="Tahoma"/>
          <w:strike/>
          <w:sz w:val="24"/>
          <w:lang w:val="el-GR" w:eastAsia="el-GR"/>
        </w:rPr>
        <w:t>/</w:t>
      </w:r>
      <w:r>
        <w:rPr>
          <w:rFonts w:cs="Tahoma"/>
          <w:sz w:val="24"/>
          <w:lang w:val="el-GR" w:eastAsia="el-GR"/>
        </w:rPr>
        <w:t>συνεργατών/δανειζόντων εμπειρία/υπεργολάβων του, ισχύουν τα παρακάτω:</w:t>
      </w:r>
    </w:p>
    <w:p>
      <w:pPr>
        <w:pStyle w:val="Normal"/>
        <w:suppressAutoHyphens w:val="false"/>
        <w:spacing w:lineRule="auto" w:line="276" w:before="0" w:after="0"/>
        <w:rPr>
          <w:rFonts w:cs="Tahoma"/>
          <w:sz w:val="24"/>
          <w:lang w:val="el-GR" w:eastAsia="el-GR"/>
        </w:rPr>
      </w:pPr>
      <w:r>
        <w:rPr>
          <w:rFonts w:cs="Tahoma"/>
          <w:sz w:val="24"/>
          <w:lang w:val="el-GR"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pPr>
        <w:pStyle w:val="Normal"/>
        <w:suppressAutoHyphens w:val="false"/>
        <w:spacing w:lineRule="auto" w:line="276" w:before="0" w:after="0"/>
        <w:rPr/>
      </w:pPr>
      <w:r>
        <w:rPr>
          <w:rFonts w:cs="Tahoma"/>
          <w:sz w:val="24"/>
          <w:lang w:val="el-GR" w:eastAsia="el-GR"/>
        </w:rPr>
        <w:t>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έγχαρτο αρχείο και σε ηλεκτρονική βάση με υψηλά χαρακτηριστικά ασφαλείας με πρόσβαση αυστηρώς και μόνο σε εξουσιοδοτημένα πρόσωπα</w:t>
      </w:r>
      <w:r>
        <w:rPr>
          <w:rFonts w:eastAsia="Calibri" w:cs="Tahoma"/>
          <w:sz w:val="24"/>
          <w:lang w:val="el-GR" w:eastAsia="en-US"/>
        </w:rPr>
        <w:t xml:space="preserve"> </w:t>
      </w:r>
      <w:r>
        <w:rPr>
          <w:rFonts w:cs="Tahoma"/>
          <w:sz w:val="24"/>
          <w:lang w:val="el-GR" w:eastAsia="el-GR"/>
        </w:rPr>
        <w:t>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pPr>
        <w:pStyle w:val="Normal"/>
        <w:suppressAutoHyphens w:val="false"/>
        <w:spacing w:lineRule="auto" w:line="276" w:before="0" w:after="0"/>
        <w:rPr>
          <w:rFonts w:cs="Tahoma"/>
          <w:sz w:val="24"/>
          <w:lang w:val="el-GR" w:eastAsia="el-GR"/>
        </w:rPr>
      </w:pPr>
      <w:r>
        <w:rPr>
          <w:rFonts w:cs="Tahoma"/>
          <w:sz w:val="24"/>
          <w:lang w:val="el-GR" w:eastAsia="el-GR"/>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pPr>
        <w:pStyle w:val="Normal"/>
        <w:suppressAutoHyphens w:val="false"/>
        <w:spacing w:lineRule="auto" w:line="276" w:before="0" w:after="0"/>
        <w:rPr>
          <w:rFonts w:cs="Tahoma"/>
          <w:sz w:val="24"/>
          <w:lang w:val="el-GR" w:eastAsia="el-GR"/>
        </w:rPr>
      </w:pPr>
      <w:r>
        <w:rPr>
          <w:rFonts w:cs="Tahoma"/>
          <w:sz w:val="24"/>
          <w:lang w:val="el-GR" w:eastAsia="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pPr>
        <w:pStyle w:val="Normal"/>
        <w:suppressAutoHyphens w:val="false"/>
        <w:spacing w:lineRule="auto" w:line="276" w:before="0" w:after="0"/>
        <w:rPr/>
      </w:pPr>
      <w:r>
        <w:rPr>
          <w:rFonts w:cs="Tahoma"/>
          <w:sz w:val="24"/>
          <w:lang w:val="el-GR" w:eastAsia="el-GR"/>
        </w:rPr>
        <w:t>Καθ’ όλη την διάρκεια που η Αναθέτουσα Αρχή τηρεί και επεξεργάζεται τα προσωπικά δεδομένα ο Ανάδοχος έχει δικαίωμα ενημέρωσης, πρόσβασης, φορητότητας, διόρθωσης, περιορισμού, διαγραφής</w:t>
      </w:r>
      <w:r>
        <w:rPr>
          <w:rFonts w:eastAsia="Calibri" w:cs="Tahoma"/>
          <w:sz w:val="24"/>
          <w:lang w:val="el-GR" w:eastAsia="en-US"/>
        </w:rPr>
        <w:t xml:space="preserve"> </w:t>
      </w:r>
      <w:r>
        <w:rPr>
          <w:rFonts w:cs="Tahoma"/>
          <w:sz w:val="24"/>
          <w:lang w:val="el-GR" w:eastAsia="el-GR"/>
        </w:rPr>
        <w:t>ή και εναντίωσης υπό συγκεκριμένες προϋποθέσεις προβλεπόμενες από το νομοθετικό πλαίσιο.</w:t>
      </w:r>
    </w:p>
    <w:p>
      <w:pPr>
        <w:pStyle w:val="Normal"/>
        <w:suppressAutoHyphens w:val="false"/>
        <w:spacing w:lineRule="auto" w:line="276" w:before="0" w:after="0"/>
        <w:rPr>
          <w:rFonts w:cs="Tahoma"/>
          <w:sz w:val="24"/>
          <w:lang w:val="el-GR" w:eastAsia="el-GR"/>
        </w:rPr>
      </w:pPr>
      <w:r>
        <w:rPr>
          <w:rFonts w:cs="Tahoma"/>
          <w:sz w:val="24"/>
          <w:lang w:val="el-GR"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pPr>
        <w:pStyle w:val="Normal"/>
        <w:suppressAutoHyphens w:val="false"/>
        <w:spacing w:lineRule="auto" w:line="276" w:before="0" w:after="0"/>
        <w:rPr/>
      </w:pPr>
      <w:r>
        <w:rPr>
          <w:rFonts w:cs="Tahoma"/>
          <w:sz w:val="24"/>
          <w:lang w:val="el-GR" w:eastAsia="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pPr>
        <w:pStyle w:val="Normal"/>
        <w:suppressAutoHyphens w:val="false"/>
        <w:spacing w:lineRule="auto" w:line="276" w:before="0" w:after="0"/>
        <w:ind w:left="0" w:right="-142" w:hanging="0"/>
        <w:rPr/>
      </w:pPr>
      <w:r>
        <w:rPr>
          <w:rFonts w:cs="Tahoma"/>
          <w:sz w:val="24"/>
          <w:lang w:val="el-GR" w:eastAsia="el-GR"/>
        </w:rPr>
        <w:t>Τα στοιχεία επικοινωνίας με τον υπεύθυνο για την προστασία των προσωπικών δεδομένων της Αναθέτουσας Αρχής είναι τα ακόλουθα (e-mail:</w:t>
      </w:r>
      <w:hyperlink r:id="rId59">
        <w:r>
          <w:rPr>
            <w:rStyle w:val="Style7"/>
            <w:rFonts w:cs="Tahoma"/>
            <w:sz w:val="24"/>
            <w:lang w:eastAsia="el-GR"/>
          </w:rPr>
          <w:t>dpo</w:t>
        </w:r>
      </w:hyperlink>
      <w:hyperlink r:id="rId60">
        <w:r>
          <w:rPr>
            <w:rStyle w:val="Style7"/>
            <w:rFonts w:cs="Tahoma"/>
            <w:sz w:val="24"/>
            <w:lang w:val="el-GR" w:eastAsia="el-GR"/>
          </w:rPr>
          <w:t>@</w:t>
        </w:r>
      </w:hyperlink>
      <w:hyperlink r:id="rId61">
        <w:r>
          <w:rPr>
            <w:rStyle w:val="Style7"/>
            <w:rFonts w:cs="Tahoma"/>
            <w:sz w:val="24"/>
            <w:lang w:eastAsia="el-GR"/>
          </w:rPr>
          <w:t>efka</w:t>
        </w:r>
      </w:hyperlink>
      <w:hyperlink r:id="rId62">
        <w:r>
          <w:rPr>
            <w:rStyle w:val="Style7"/>
            <w:rFonts w:cs="Tahoma"/>
            <w:sz w:val="24"/>
            <w:lang w:val="el-GR" w:eastAsia="el-GR"/>
          </w:rPr>
          <w:t>.</w:t>
        </w:r>
      </w:hyperlink>
      <w:hyperlink r:id="rId63">
        <w:r>
          <w:rPr>
            <w:rStyle w:val="Style7"/>
            <w:rFonts w:cs="Tahoma"/>
            <w:sz w:val="24"/>
            <w:lang w:eastAsia="el-GR"/>
          </w:rPr>
          <w:t>gov</w:t>
        </w:r>
      </w:hyperlink>
      <w:hyperlink r:id="rId64">
        <w:r>
          <w:rPr>
            <w:rStyle w:val="Style7"/>
            <w:rFonts w:cs="Tahoma"/>
            <w:sz w:val="24"/>
            <w:lang w:val="el-GR" w:eastAsia="el-GR"/>
          </w:rPr>
          <w:t>.</w:t>
        </w:r>
      </w:hyperlink>
      <w:hyperlink r:id="rId65">
        <w:r>
          <w:rPr>
            <w:rStyle w:val="Style7"/>
            <w:rFonts w:cs="Tahoma"/>
            <w:sz w:val="24"/>
            <w:lang w:eastAsia="el-GR"/>
          </w:rPr>
          <w:t>gr</w:t>
        </w:r>
      </w:hyperlink>
      <w:r>
        <w:rPr>
          <w:rFonts w:cs="Tahoma"/>
          <w:sz w:val="24"/>
          <w:lang w:val="el-GR" w:eastAsia="el-GR"/>
        </w:rPr>
        <w:t xml:space="preserve">/τηλέφωνο:210-5243839). </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uppressAutoHyphens w:val="false"/>
        <w:spacing w:lineRule="auto" w:line="276" w:before="0" w:after="0"/>
        <w:rPr/>
      </w:pPr>
      <w:r>
        <w:rPr>
          <w:rFonts w:cs="Tahoma"/>
          <w:b/>
          <w:sz w:val="24"/>
          <w:lang w:val="el-GR" w:eastAsia="el-GR"/>
        </w:rPr>
        <w:t>B.</w:t>
      </w:r>
      <w:r>
        <w:rPr>
          <w:rFonts w:cs="Tahoma"/>
          <w:sz w:val="24"/>
          <w:lang w:val="el-GR" w:eastAsia="el-GR"/>
        </w:rPr>
        <w:t xml:space="preserve">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pPr>
        <w:pStyle w:val="Normal"/>
        <w:suppressAutoHyphens w:val="false"/>
        <w:spacing w:lineRule="auto" w:line="276" w:before="0" w:after="0"/>
        <w:rPr>
          <w:rFonts w:cs="Tahoma"/>
          <w:sz w:val="24"/>
          <w:lang w:val="el-GR" w:eastAsia="el-GR"/>
        </w:rPr>
      </w:pPr>
      <w:r>
        <w:rPr>
          <w:rFonts w:cs="Tahoma"/>
          <w:sz w:val="24"/>
          <w:lang w:val="el-GR" w:eastAsia="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γ) λαμβάνει όλα τα απαιτούμενα μέτρα δυνάμει του άρθρου 32 ΓΚΠΔ,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δ) τηρεί τους όρους που αναφέρονται στις παραγράφους 2 και 4 για την πρόσληψη άλλου εκτελούντος την επεξεργασία,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w:t>
      </w:r>
    </w:p>
    <w:p>
      <w:pPr>
        <w:pStyle w:val="Normal"/>
        <w:suppressAutoHyphens w:val="false"/>
        <w:spacing w:lineRule="auto" w:line="276" w:before="0" w:after="0"/>
        <w:jc w:val="left"/>
        <w:rPr>
          <w:sz w:val="24"/>
          <w:lang w:val="el-GR"/>
        </w:rPr>
      </w:pPr>
      <w:r>
        <w:rPr>
          <w:sz w:val="24"/>
          <w:lang w:val="el-GR"/>
        </w:rPr>
      </w:r>
      <w:r>
        <w:br w:type="page"/>
      </w:r>
    </w:p>
    <w:p>
      <w:pPr>
        <w:pStyle w:val="2"/>
        <w:spacing w:lineRule="auto" w:line="276"/>
        <w:ind w:left="567" w:right="0" w:hanging="567"/>
        <w:rPr/>
      </w:pPr>
      <w:bookmarkStart w:id="332" w:name="__RefHeading___Toc35725_1890191151"/>
      <w:bookmarkStart w:id="333" w:name="_Toc75718046"/>
      <w:bookmarkStart w:id="334" w:name="_Toc75715013"/>
      <w:bookmarkStart w:id="335" w:name="_Toc138844720"/>
      <w:bookmarkStart w:id="336" w:name="_Toc138061937"/>
      <w:bookmarkEnd w:id="332"/>
      <w:r>
        <w:rPr>
          <w:rFonts w:ascii="Calibri" w:hAnsi="Calibri"/>
          <w:sz w:val="24"/>
          <w:szCs w:val="24"/>
          <w:lang w:val="el-GR"/>
        </w:rPr>
        <w:t>ΑΡΘΡΟ 20 : ΛΟΙΠΟΙ ΓΕΝΙΚΟΙ ΟΡΟΙ</w:t>
      </w:r>
      <w:bookmarkEnd w:id="333"/>
      <w:bookmarkEnd w:id="334"/>
      <w:bookmarkEnd w:id="335"/>
      <w:bookmarkEnd w:id="336"/>
      <w:r>
        <w:rPr>
          <w:rFonts w:ascii="Calibri" w:hAnsi="Calibri"/>
          <w:sz w:val="24"/>
          <w:szCs w:val="24"/>
          <w:lang w:val="el-GR"/>
        </w:rPr>
        <w:t xml:space="preserve">  </w:t>
      </w:r>
    </w:p>
    <w:p>
      <w:pPr>
        <w:pStyle w:val="Normal"/>
        <w:suppressAutoHyphens w:val="false"/>
        <w:spacing w:lineRule="auto" w:line="276" w:before="0" w:after="0"/>
        <w:rPr>
          <w:rFonts w:cs="Tahoma"/>
          <w:sz w:val="24"/>
          <w:lang w:val="el-GR" w:eastAsia="el-GR"/>
        </w:rPr>
      </w:pPr>
      <w:r>
        <w:rPr>
          <w:rFonts w:cs="Tahoma"/>
          <w:sz w:val="24"/>
          <w:lang w:val="el-GR" w:eastAsia="el-GR"/>
        </w:rPr>
        <w:t>Άπαντες οι όροι της Διακήρυξης και των Εγγράφων της Σύμβασης που σχετίζονται με την εκτέλεση της παρούσας αποτελούν αναπόσπαστο τμήμα αυτής.</w:t>
      </w:r>
    </w:p>
    <w:p>
      <w:pPr>
        <w:pStyle w:val="Normal"/>
        <w:suppressAutoHyphens w:val="false"/>
        <w:spacing w:lineRule="auto" w:line="276" w:before="0" w:after="0"/>
        <w:rPr/>
      </w:pPr>
      <w:r>
        <w:rPr>
          <w:rFonts w:cs="Tahoma"/>
          <w:sz w:val="24"/>
          <w:lang w:val="el-GR" w:eastAsia="el-GR"/>
        </w:rPr>
        <w:t xml:space="preserve">Αφού συντάχθηκε η παρούσα σύμβαση </w:t>
      </w:r>
      <w:r>
        <w:rPr>
          <w:rFonts w:cs="Tahoma"/>
          <w:b/>
          <w:sz w:val="24"/>
          <w:lang w:val="el-GR" w:eastAsia="el-GR"/>
        </w:rPr>
        <w:t>σε τρία (3) αντίτυπα</w:t>
      </w:r>
      <w:r>
        <w:rPr>
          <w:rFonts w:cs="Tahoma"/>
          <w:sz w:val="24"/>
          <w:lang w:val="el-GR" w:eastAsia="el-GR"/>
        </w:rPr>
        <w:t xml:space="preserve">, αναγνώσθηκε και υπογράφηκε ως ακολούθως από τα συμβαλλόμενα μέρη.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Από τα τρία (3) πρωτότυπα, τα δύο κατατέθηκαν στην ΠΥΣΥ Θεσσαλίας του e- Ε.Φ.Κ.Α. και ένα έλαβε ο Ανάδοχος.    </w:t>
      </w:r>
    </w:p>
    <w:p>
      <w:pPr>
        <w:pStyle w:val="Normal"/>
        <w:spacing w:lineRule="auto" w:line="276" w:before="0" w:after="120"/>
        <w:contextualSpacing/>
        <w:jc w:val="center"/>
        <w:rPr>
          <w:rFonts w:cs="Tahoma"/>
          <w:sz w:val="24"/>
          <w:lang w:val="el-GR" w:eastAsia="el-GR"/>
        </w:rPr>
      </w:pPr>
      <w:r>
        <w:rPr>
          <w:rFonts w:cs="Tahoma"/>
          <w:sz w:val="24"/>
          <w:lang w:val="el-GR" w:eastAsia="el-GR"/>
        </w:rPr>
        <w:t xml:space="preserve">       </w:t>
      </w:r>
    </w:p>
    <w:p>
      <w:pPr>
        <w:pStyle w:val="Normal"/>
        <w:spacing w:lineRule="auto" w:line="276" w:before="0" w:after="6"/>
        <w:contextualSpacing/>
        <w:jc w:val="center"/>
        <w:rPr/>
      </w:pPr>
      <w:r>
        <w:rPr>
          <w:rFonts w:cs="Tahoma"/>
          <w:sz w:val="24"/>
          <w:lang w:val="el-GR" w:eastAsia="el-GR"/>
        </w:rPr>
        <w:t xml:space="preserve">  </w:t>
      </w:r>
      <w:r>
        <w:rPr>
          <w:rFonts w:cs="Tahoma"/>
          <w:b/>
          <w:bCs/>
          <w:i/>
          <w:iCs/>
          <w:sz w:val="24"/>
          <w:lang w:val="el-GR" w:eastAsia="el-GR"/>
        </w:rPr>
        <w:t xml:space="preserve"> </w:t>
      </w:r>
      <w:r>
        <w:rPr>
          <w:rFonts w:cs="Tahoma"/>
          <w:b/>
          <w:bCs/>
          <w:i/>
          <w:iCs/>
          <w:sz w:val="24"/>
          <w:lang w:val="el-GR" w:eastAsia="el-GR"/>
        </w:rPr>
        <w:t>ΟΙ ΣΥΜΒΑΛΛΟΜΕΝΟΙ</w:t>
      </w:r>
    </w:p>
    <w:tbl>
      <w:tblPr>
        <w:tblW w:w="9750" w:type="dxa"/>
        <w:jc w:val="left"/>
        <w:tblInd w:w="-108" w:type="dxa"/>
        <w:tblCellMar>
          <w:top w:w="0" w:type="dxa"/>
          <w:left w:w="108" w:type="dxa"/>
          <w:bottom w:w="0" w:type="dxa"/>
          <w:right w:w="108" w:type="dxa"/>
        </w:tblCellMar>
      </w:tblPr>
      <w:tblGrid>
        <w:gridCol w:w="9108"/>
        <w:gridCol w:w="641"/>
      </w:tblGrid>
      <w:tr>
        <w:trPr>
          <w:trHeight w:val="916" w:hRule="atLeast"/>
        </w:trPr>
        <w:tc>
          <w:tcPr>
            <w:tcW w:w="9108" w:type="dxa"/>
            <w:tcBorders/>
            <w:shd w:color="auto" w:fill="auto" w:val="clear"/>
          </w:tcPr>
          <w:p>
            <w:pPr>
              <w:pStyle w:val="Normal"/>
              <w:spacing w:lineRule="auto" w:line="276" w:before="0" w:after="0"/>
              <w:contextualSpacing/>
              <w:jc w:val="center"/>
              <w:rPr>
                <w:rFonts w:cs="Tahoma"/>
                <w:b/>
                <w:b/>
                <w:bCs/>
                <w:i/>
                <w:i/>
                <w:iCs/>
                <w:sz w:val="24"/>
                <w:lang w:val="el-GR" w:eastAsia="el-GR"/>
              </w:rPr>
            </w:pPr>
            <w:r>
              <w:rPr>
                <w:rFonts w:cs="Tahoma"/>
                <w:b/>
                <w:bCs/>
                <w:i/>
                <w:iCs/>
                <w:sz w:val="24"/>
                <w:lang w:val="el-GR" w:eastAsia="el-GR"/>
              </w:rPr>
            </w:r>
          </w:p>
          <w:tbl>
            <w:tblPr>
              <w:tblW w:w="9911" w:type="dxa"/>
              <w:jc w:val="left"/>
              <w:tblInd w:w="73" w:type="dxa"/>
              <w:tblCellMar>
                <w:top w:w="0" w:type="dxa"/>
                <w:left w:w="108" w:type="dxa"/>
                <w:bottom w:w="0" w:type="dxa"/>
                <w:right w:w="108" w:type="dxa"/>
              </w:tblCellMar>
            </w:tblPr>
            <w:tblGrid>
              <w:gridCol w:w="4957"/>
              <w:gridCol w:w="4953"/>
            </w:tblGrid>
            <w:tr>
              <w:trPr/>
              <w:tc>
                <w:tcPr>
                  <w:tcW w:w="4957" w:type="dxa"/>
                  <w:tcBorders/>
                  <w:shd w:color="auto" w:fill="auto" w:val="clear"/>
                </w:tcPr>
                <w:p>
                  <w:pPr>
                    <w:pStyle w:val="Style19"/>
                    <w:spacing w:lineRule="auto" w:line="276" w:before="0" w:after="0"/>
                    <w:jc w:val="center"/>
                    <w:rPr>
                      <w:rFonts w:cs="Tahoma"/>
                      <w:b/>
                      <w:b/>
                      <w:bCs/>
                      <w:sz w:val="24"/>
                      <w:lang w:val="el-GR" w:eastAsia="el-GR"/>
                    </w:rPr>
                  </w:pPr>
                  <w:r>
                    <w:rPr>
                      <w:rFonts w:cs="Tahoma"/>
                      <w:b/>
                      <w:bCs/>
                      <w:sz w:val="24"/>
                      <w:lang w:val="el-GR" w:eastAsia="el-GR"/>
                    </w:rPr>
                    <w:t>Για τον  e- Ε.Φ.Κ.Α.</w:t>
                    <w:tab/>
                  </w:r>
                </w:p>
              </w:tc>
              <w:tc>
                <w:tcPr>
                  <w:tcW w:w="4953" w:type="dxa"/>
                  <w:tcBorders/>
                  <w:shd w:color="auto" w:fill="auto" w:val="clear"/>
                </w:tcPr>
                <w:p>
                  <w:pPr>
                    <w:pStyle w:val="Style19"/>
                    <w:spacing w:lineRule="auto" w:line="276" w:before="0" w:after="0"/>
                    <w:jc w:val="center"/>
                    <w:rPr>
                      <w:rFonts w:cs="Tahoma"/>
                      <w:b/>
                      <w:b/>
                      <w:bCs/>
                      <w:sz w:val="24"/>
                      <w:lang w:val="el-GR" w:eastAsia="el-GR"/>
                    </w:rPr>
                  </w:pPr>
                  <w:r>
                    <w:rPr>
                      <w:rFonts w:cs="Tahoma"/>
                      <w:b/>
                      <w:bCs/>
                      <w:sz w:val="24"/>
                      <w:lang w:val="el-GR" w:eastAsia="el-GR"/>
                    </w:rPr>
                    <w:t>Για τον ΑΝΑΔΟΧΟ</w:t>
                  </w:r>
                </w:p>
              </w:tc>
            </w:tr>
            <w:tr>
              <w:trPr/>
              <w:tc>
                <w:tcPr>
                  <w:tcW w:w="4957" w:type="dxa"/>
                  <w:tcBorders/>
                  <w:shd w:color="auto" w:fill="auto" w:val="clear"/>
                </w:tcPr>
                <w:p>
                  <w:pPr>
                    <w:pStyle w:val="Style19"/>
                    <w:spacing w:lineRule="auto" w:line="276" w:before="0" w:after="0"/>
                    <w:jc w:val="center"/>
                    <w:rPr>
                      <w:rFonts w:cs="Tahoma"/>
                      <w:b/>
                      <w:b/>
                      <w:bCs/>
                      <w:sz w:val="24"/>
                      <w:lang w:val="el-GR" w:eastAsia="el-GR"/>
                    </w:rPr>
                  </w:pPr>
                  <w:r>
                    <w:rPr>
                      <w:rFonts w:cs="Tahoma"/>
                      <w:b/>
                      <w:bCs/>
                      <w:sz w:val="24"/>
                      <w:lang w:val="el-GR" w:eastAsia="el-GR"/>
                    </w:rPr>
                    <w:t>Ο Προϊστάμενος της Γενικής Διεύθυνσης</w:t>
                  </w:r>
                </w:p>
              </w:tc>
              <w:tc>
                <w:tcPr>
                  <w:tcW w:w="4953" w:type="dxa"/>
                  <w:tcBorders/>
                  <w:shd w:color="auto" w:fill="auto" w:val="clear"/>
                </w:tcPr>
                <w:p>
                  <w:pPr>
                    <w:pStyle w:val="Style19"/>
                    <w:spacing w:lineRule="auto" w:line="276" w:before="0" w:after="0"/>
                    <w:jc w:val="center"/>
                    <w:rPr>
                      <w:rFonts w:cs="Tahoma"/>
                      <w:b/>
                      <w:b/>
                      <w:bCs/>
                      <w:i/>
                      <w:i/>
                      <w:sz w:val="24"/>
                      <w:lang w:val="el-GR" w:eastAsia="el-GR"/>
                    </w:rPr>
                  </w:pPr>
                  <w:r>
                    <w:rPr>
                      <w:rFonts w:cs="Tahoma"/>
                      <w:b/>
                      <w:bCs/>
                      <w:i/>
                      <w:sz w:val="24"/>
                      <w:lang w:val="el-GR" w:eastAsia="el-GR"/>
                    </w:rPr>
                  </w:r>
                </w:p>
              </w:tc>
            </w:tr>
            <w:tr>
              <w:trPr/>
              <w:tc>
                <w:tcPr>
                  <w:tcW w:w="4957" w:type="dxa"/>
                  <w:tcBorders/>
                  <w:shd w:color="auto" w:fill="auto" w:val="clear"/>
                </w:tcPr>
                <w:p>
                  <w:pPr>
                    <w:pStyle w:val="Style19"/>
                    <w:spacing w:lineRule="auto" w:line="276" w:before="0" w:after="0"/>
                    <w:jc w:val="center"/>
                    <w:rPr>
                      <w:rFonts w:cs="Tahoma"/>
                      <w:b/>
                      <w:b/>
                      <w:bCs/>
                      <w:sz w:val="24"/>
                      <w:lang w:val="el-GR" w:eastAsia="el-GR"/>
                    </w:rPr>
                  </w:pPr>
                  <w:r>
                    <w:rPr>
                      <w:rFonts w:cs="Tahoma"/>
                      <w:b/>
                      <w:bCs/>
                      <w:sz w:val="24"/>
                      <w:lang w:val="el-GR" w:eastAsia="el-GR"/>
                    </w:rPr>
                    <w:t xml:space="preserve">ΠΥΣΥ  Θεσσαλίας                                                                  </w:t>
                  </w:r>
                </w:p>
              </w:tc>
              <w:tc>
                <w:tcPr>
                  <w:tcW w:w="4953" w:type="dxa"/>
                  <w:tcBorders/>
                  <w:shd w:color="auto" w:fill="auto" w:val="clear"/>
                </w:tcPr>
                <w:p>
                  <w:pPr>
                    <w:pStyle w:val="Normal"/>
                    <w:suppressLineNumbers/>
                    <w:spacing w:lineRule="auto" w:line="276" w:before="0" w:after="0"/>
                    <w:jc w:val="center"/>
                    <w:rPr>
                      <w:rStyle w:val="Style7"/>
                      <w:rFonts w:cs="Tahoma"/>
                      <w:color w:val="auto"/>
                      <w:sz w:val="24"/>
                      <w:lang w:val="el-GR" w:eastAsia="el-GR"/>
                    </w:rPr>
                  </w:pPr>
                  <w:r>
                    <w:rPr>
                      <w:rFonts w:cs="Tahoma"/>
                      <w:color w:val="auto"/>
                      <w:sz w:val="24"/>
                      <w:lang w:val="el-GR" w:eastAsia="el-GR"/>
                    </w:rPr>
                  </w:r>
                </w:p>
              </w:tc>
            </w:tr>
            <w:tr>
              <w:trPr/>
              <w:tc>
                <w:tcPr>
                  <w:tcW w:w="4957" w:type="dxa"/>
                  <w:tcBorders/>
                  <w:shd w:color="auto" w:fill="auto" w:val="clear"/>
                </w:tcPr>
                <w:p>
                  <w:pPr>
                    <w:pStyle w:val="Style19"/>
                    <w:snapToGrid w:val="false"/>
                    <w:spacing w:lineRule="auto" w:line="276" w:before="0" w:after="0"/>
                    <w:jc w:val="center"/>
                    <w:rPr>
                      <w:rFonts w:cs="Tahoma"/>
                      <w:sz w:val="24"/>
                      <w:lang w:val="el-GR" w:eastAsia="el-GR"/>
                    </w:rPr>
                  </w:pPr>
                  <w:r>
                    <w:rPr>
                      <w:rFonts w:cs="Tahoma"/>
                      <w:sz w:val="24"/>
                      <w:lang w:val="el-GR" w:eastAsia="el-GR"/>
                    </w:rPr>
                  </w:r>
                </w:p>
                <w:p>
                  <w:pPr>
                    <w:pStyle w:val="Style19"/>
                    <w:snapToGrid w:val="false"/>
                    <w:spacing w:lineRule="auto" w:line="276" w:before="0" w:after="0"/>
                    <w:jc w:val="center"/>
                    <w:rPr>
                      <w:rFonts w:cs="Tahoma"/>
                      <w:sz w:val="24"/>
                      <w:lang w:val="el-GR" w:eastAsia="el-GR"/>
                    </w:rPr>
                  </w:pPr>
                  <w:r>
                    <w:rPr>
                      <w:rFonts w:cs="Tahoma"/>
                      <w:sz w:val="24"/>
                      <w:lang w:val="el-GR" w:eastAsia="el-GR"/>
                    </w:rPr>
                  </w:r>
                </w:p>
              </w:tc>
              <w:tc>
                <w:tcPr>
                  <w:tcW w:w="4953" w:type="dxa"/>
                  <w:tcBorders/>
                  <w:shd w:color="auto" w:fill="auto" w:val="clear"/>
                </w:tcPr>
                <w:p>
                  <w:pPr>
                    <w:pStyle w:val="Normal"/>
                    <w:suppressLineNumbers/>
                    <w:snapToGrid w:val="false"/>
                    <w:spacing w:lineRule="auto" w:line="276" w:before="0" w:after="0"/>
                    <w:jc w:val="center"/>
                    <w:rPr>
                      <w:rStyle w:val="Style7"/>
                      <w:rFonts w:cs="Tahoma"/>
                      <w:color w:val="auto"/>
                      <w:sz w:val="24"/>
                      <w:lang w:val="el-GR" w:eastAsia="el-GR"/>
                    </w:rPr>
                  </w:pPr>
                  <w:r>
                    <w:rPr>
                      <w:rFonts w:cs="Tahoma"/>
                      <w:color w:val="auto"/>
                      <w:sz w:val="24"/>
                      <w:lang w:val="el-GR" w:eastAsia="el-GR"/>
                    </w:rPr>
                  </w:r>
                </w:p>
              </w:tc>
            </w:tr>
            <w:tr>
              <w:trPr/>
              <w:tc>
                <w:tcPr>
                  <w:tcW w:w="4957" w:type="dxa"/>
                  <w:tcBorders/>
                  <w:shd w:color="auto" w:fill="auto" w:val="clear"/>
                </w:tcPr>
                <w:p>
                  <w:pPr>
                    <w:pStyle w:val="Style19"/>
                    <w:spacing w:lineRule="auto" w:line="276" w:before="0" w:after="0"/>
                    <w:jc w:val="center"/>
                    <w:rPr>
                      <w:b/>
                      <w:b/>
                      <w:bCs/>
                    </w:rPr>
                  </w:pPr>
                  <w:r>
                    <w:rPr>
                      <w:b/>
                      <w:bCs/>
                    </w:rPr>
                  </w:r>
                </w:p>
              </w:tc>
              <w:tc>
                <w:tcPr>
                  <w:tcW w:w="4953" w:type="dxa"/>
                  <w:tcBorders/>
                  <w:shd w:color="auto" w:fill="auto" w:val="clear"/>
                </w:tcPr>
                <w:p>
                  <w:pPr>
                    <w:pStyle w:val="Normal"/>
                    <w:suppressLineNumbers/>
                    <w:spacing w:lineRule="auto" w:line="276" w:before="0" w:after="0"/>
                    <w:jc w:val="center"/>
                    <w:rPr/>
                  </w:pPr>
                  <w:r>
                    <w:rPr>
                      <w:rStyle w:val="Style7"/>
                      <w:rFonts w:cs="Tahoma"/>
                      <w:b/>
                      <w:bCs/>
                      <w:color w:val="auto"/>
                      <w:sz w:val="24"/>
                      <w:u w:val="none"/>
                      <w:lang w:val="el-GR" w:eastAsia="el-GR"/>
                    </w:rPr>
                    <w:t>Δημήτριος Γκαμπράνης</w:t>
                  </w:r>
                </w:p>
              </w:tc>
            </w:tr>
          </w:tbl>
          <w:p>
            <w:pPr>
              <w:pStyle w:val="Normal"/>
              <w:spacing w:lineRule="auto" w:line="276" w:before="0" w:after="120"/>
              <w:ind w:left="-540" w:right="0" w:hanging="0"/>
              <w:jc w:val="center"/>
              <w:rPr>
                <w:b/>
                <w:b/>
              </w:rPr>
            </w:pPr>
            <w:r>
              <w:rPr>
                <w:b/>
              </w:rPr>
            </w:r>
          </w:p>
        </w:tc>
        <w:tc>
          <w:tcPr>
            <w:tcW w:w="641" w:type="dxa"/>
            <w:tcBorders/>
            <w:shd w:color="auto" w:fill="auto" w:val="clear"/>
          </w:tcPr>
          <w:p>
            <w:pPr>
              <w:pStyle w:val="Normal"/>
              <w:spacing w:lineRule="auto" w:line="276" w:before="0" w:after="0"/>
              <w:contextualSpacing/>
              <w:jc w:val="center"/>
              <w:rPr>
                <w:rFonts w:cs="Tahoma"/>
                <w:b/>
                <w:b/>
                <w:bCs/>
                <w:i/>
                <w:i/>
                <w:iCs/>
                <w:sz w:val="24"/>
                <w:lang w:val="el-GR" w:eastAsia="el-GR"/>
              </w:rPr>
            </w:pPr>
            <w:r>
              <w:rPr>
                <w:rFonts w:cs="Tahoma"/>
                <w:b/>
                <w:bCs/>
                <w:i/>
                <w:iCs/>
                <w:sz w:val="24"/>
                <w:lang w:val="el-GR" w:eastAsia="el-GR"/>
              </w:rPr>
            </w:r>
          </w:p>
          <w:p>
            <w:pPr>
              <w:pStyle w:val="Style19"/>
              <w:spacing w:lineRule="auto" w:line="276" w:before="0" w:after="0"/>
              <w:ind w:left="-540" w:right="0" w:hanging="0"/>
              <w:jc w:val="center"/>
              <w:rPr>
                <w:rFonts w:cs="Tahoma"/>
                <w:b/>
                <w:b/>
                <w:bCs/>
                <w:sz w:val="24"/>
                <w:lang w:val="el-GR" w:eastAsia="el-GR"/>
              </w:rPr>
            </w:pPr>
            <w:r>
              <w:rPr>
                <w:rFonts w:cs="Tahoma"/>
                <w:b/>
                <w:bCs/>
                <w:sz w:val="24"/>
                <w:lang w:val="el-GR" w:eastAsia="el-GR"/>
              </w:rPr>
              <w:t>Για τον ΑΝΑΔΟΧΟ</w:t>
            </w:r>
          </w:p>
        </w:tc>
      </w:tr>
      <w:tr>
        <w:trPr>
          <w:trHeight w:val="916" w:hRule="atLeast"/>
        </w:trPr>
        <w:tc>
          <w:tcPr>
            <w:tcW w:w="9108" w:type="dxa"/>
            <w:tcBorders/>
            <w:shd w:color="auto" w:fill="auto" w:val="clear"/>
          </w:tcPr>
          <w:p>
            <w:pPr>
              <w:pStyle w:val="Normal"/>
              <w:spacing w:lineRule="auto" w:line="276" w:before="0" w:after="0"/>
              <w:jc w:val="center"/>
              <w:rPr>
                <w:rFonts w:cs="Tahoma"/>
                <w:b/>
                <w:b/>
                <w:sz w:val="24"/>
                <w:lang w:val="el-GR" w:eastAsia="el-GR"/>
              </w:rPr>
            </w:pPr>
            <w:r>
              <w:rPr>
                <w:rFonts w:cs="Tahoma"/>
                <w:b/>
                <w:sz w:val="24"/>
                <w:lang w:val="el-GR" w:eastAsia="el-GR"/>
              </w:rPr>
            </w:r>
          </w:p>
        </w:tc>
        <w:tc>
          <w:tcPr>
            <w:tcW w:w="641" w:type="dxa"/>
            <w:tcBorders/>
            <w:shd w:color="auto" w:fill="auto" w:val="clear"/>
          </w:tcPr>
          <w:p>
            <w:pPr>
              <w:pStyle w:val="Normal"/>
              <w:spacing w:lineRule="auto" w:line="276" w:before="0" w:after="0"/>
              <w:jc w:val="center"/>
              <w:rPr>
                <w:rFonts w:cs="Tahoma"/>
                <w:b/>
                <w:b/>
                <w:sz w:val="24"/>
                <w:lang w:val="el-GR" w:eastAsia="el-GR"/>
              </w:rPr>
            </w:pPr>
            <w:r>
              <w:rPr>
                <w:rFonts w:cs="Tahoma"/>
                <w:b/>
                <w:sz w:val="24"/>
                <w:lang w:val="el-GR" w:eastAsia="el-GR"/>
              </w:rPr>
            </w:r>
          </w:p>
        </w:tc>
      </w:tr>
    </w:tbl>
    <w:p>
      <w:pPr>
        <w:pStyle w:val="2"/>
        <w:spacing w:lineRule="auto" w:line="276"/>
        <w:ind w:left="0" w:right="0" w:hanging="0"/>
        <w:rPr>
          <w:rFonts w:ascii="Calibri" w:hAnsi="Calibri" w:cs="Tahoma"/>
          <w:color w:val="auto"/>
          <w:sz w:val="24"/>
          <w:szCs w:val="24"/>
          <w:lang w:val="el-GR" w:eastAsia="el-GR"/>
        </w:rPr>
      </w:pPr>
      <w:r>
        <w:rPr>
          <w:rFonts w:cs="Tahoma" w:ascii="Calibri" w:hAnsi="Calibri"/>
          <w:color w:val="auto"/>
          <w:sz w:val="24"/>
          <w:szCs w:val="24"/>
          <w:lang w:val="el-GR" w:eastAsia="el-GR"/>
        </w:rPr>
      </w:r>
    </w:p>
    <w:p>
      <w:pPr>
        <w:pStyle w:val="Normal"/>
        <w:suppressAutoHyphens w:val="false"/>
        <w:spacing w:lineRule="auto" w:line="276" w:before="0" w:after="0"/>
        <w:jc w:val="left"/>
        <w:rPr>
          <w:rFonts w:cs="Times New Roman"/>
          <w:b/>
          <w:b/>
          <w:color w:val="002060"/>
          <w:sz w:val="24"/>
          <w:lang w:val="el-GR"/>
        </w:rPr>
      </w:pPr>
      <w:r>
        <w:rPr>
          <w:rFonts w:cs="Times New Roman"/>
          <w:b/>
          <w:color w:val="002060"/>
          <w:sz w:val="24"/>
          <w:lang w:val="el-GR"/>
        </w:rPr>
      </w:r>
      <w:r>
        <w:br w:type="page"/>
      </w:r>
    </w:p>
    <w:p>
      <w:pPr>
        <w:pStyle w:val="2"/>
        <w:spacing w:lineRule="auto" w:line="276"/>
        <w:ind w:left="0" w:right="0" w:hanging="0"/>
        <w:rPr/>
      </w:pPr>
      <w:bookmarkStart w:id="337" w:name="__RefHeading___Toc35727_1890191151"/>
      <w:bookmarkStart w:id="338" w:name="_Toc138061938"/>
      <w:bookmarkStart w:id="339" w:name="_Toc138844721"/>
      <w:bookmarkEnd w:id="337"/>
      <w:r>
        <w:rPr>
          <w:rFonts w:ascii="Calibri" w:hAnsi="Calibri"/>
          <w:i/>
          <w:sz w:val="24"/>
          <w:szCs w:val="24"/>
          <w:lang w:val="el-GR"/>
        </w:rPr>
        <w:t>ΠΑΡΑΡΤΗΜΑ Ι</w:t>
      </w:r>
      <w:bookmarkEnd w:id="338"/>
      <w:bookmarkEnd w:id="339"/>
      <w:r>
        <w:rPr>
          <w:rFonts w:ascii="Calibri" w:hAnsi="Calibri"/>
          <w:i/>
          <w:sz w:val="24"/>
          <w:szCs w:val="24"/>
          <w:lang w:val="el-GR"/>
        </w:rPr>
        <w:t xml:space="preserve"> </w:t>
      </w:r>
    </w:p>
    <w:p>
      <w:pPr>
        <w:pStyle w:val="2"/>
        <w:spacing w:lineRule="auto" w:line="276"/>
        <w:ind w:left="567" w:right="0" w:hanging="567"/>
        <w:rPr>
          <w:rFonts w:ascii="Calibri" w:hAnsi="Calibri"/>
          <w:i/>
          <w:i/>
          <w:sz w:val="24"/>
          <w:szCs w:val="24"/>
          <w:lang w:val="el-GR" w:eastAsia="el-GR"/>
        </w:rPr>
      </w:pPr>
      <w:bookmarkStart w:id="340" w:name="__RefHeading___Toc35729_1890191151"/>
      <w:bookmarkStart w:id="341" w:name="_Toc138061939"/>
      <w:bookmarkStart w:id="342" w:name="_Toc138844722"/>
      <w:bookmarkEnd w:id="340"/>
      <w:r>
        <w:rPr>
          <w:rFonts w:ascii="Calibri" w:hAnsi="Calibri"/>
          <w:i/>
          <w:sz w:val="24"/>
          <w:szCs w:val="24"/>
          <w:lang w:val="el-GR" w:eastAsia="el-GR"/>
        </w:rPr>
        <w:t>ΡΗΤΡΑ ΑΚΕΡΑΙΟΤΗΤΑΣ [επισυνάπτεται στο συμφωνητικό]</w:t>
      </w:r>
      <w:bookmarkEnd w:id="341"/>
      <w:bookmarkEnd w:id="342"/>
    </w:p>
    <w:p>
      <w:pPr>
        <w:pStyle w:val="Normal"/>
        <w:suppressAutoHyphens w:val="false"/>
        <w:spacing w:lineRule="auto" w:line="276" w:before="0" w:after="0"/>
        <w:rPr>
          <w:rFonts w:cs="Tahoma"/>
          <w:sz w:val="24"/>
          <w:lang w:val="el-GR" w:eastAsia="el-GR"/>
        </w:rPr>
      </w:pPr>
      <w:r>
        <w:rPr>
          <w:rFonts w:cs="Tahoma"/>
          <w:sz w:val="24"/>
          <w:lang w:val="el-GR" w:eastAsia="el-GR"/>
        </w:rPr>
        <w:t xml:space="preserve">Δηλώνω/ούμε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εξακολουθήσω/ουμε να ενεργώ/ούμε κατ’ αυτόν τον τρόπο κατά το στάδιο εκτέλεσης της σύμβασης αλλά και μετά τη λήξη αυτής. </w:t>
      </w:r>
    </w:p>
    <w:p>
      <w:pPr>
        <w:pStyle w:val="Normal"/>
        <w:suppressAutoHyphens w:val="false"/>
        <w:spacing w:lineRule="auto" w:line="276" w:before="0" w:after="0"/>
        <w:rPr>
          <w:rFonts w:cs="Tahoma"/>
          <w:sz w:val="24"/>
          <w:lang w:val="el-GR" w:eastAsia="el-GR"/>
        </w:rPr>
      </w:pPr>
      <w:r>
        <w:rPr>
          <w:rFonts w:cs="Tahoma"/>
          <w:sz w:val="24"/>
          <w:lang w:val="el-GR" w:eastAsia="el-GR"/>
        </w:rPr>
        <w:t>Ειδικότερα ότι:</w:t>
      </w:r>
    </w:p>
    <w:p>
      <w:pPr>
        <w:pStyle w:val="Normal"/>
        <w:suppressAutoHyphens w:val="false"/>
        <w:spacing w:lineRule="auto" w:line="276" w:before="0" w:after="0"/>
        <w:rPr>
          <w:rFonts w:cs="Tahoma"/>
          <w:sz w:val="24"/>
          <w:lang w:val="el-GR" w:eastAsia="el-GR"/>
        </w:rPr>
      </w:pPr>
      <w:r>
        <w:rPr>
          <w:rFonts w:cs="Tahoma"/>
          <w:sz w:val="24"/>
          <w:lang w:val="el-GR" w:eastAsia="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pPr>
        <w:pStyle w:val="Normal"/>
        <w:suppressAutoHyphens w:val="false"/>
        <w:spacing w:lineRule="auto" w:line="276" w:before="0" w:after="0"/>
        <w:rPr>
          <w:rFonts w:cs="Tahoma"/>
          <w:sz w:val="24"/>
          <w:lang w:val="el-GR" w:eastAsia="el-GR"/>
        </w:rPr>
      </w:pPr>
      <w:r>
        <w:rPr>
          <w:rFonts w:cs="Tahoma"/>
          <w:sz w:val="24"/>
          <w:lang w:val="el-GR" w:eastAsia="el-GR"/>
        </w:rPr>
        <w:t>2) δεν πραγματοποίησα/ήσαμε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pPr>
        <w:pStyle w:val="Normal"/>
        <w:suppressAutoHyphens w:val="false"/>
        <w:spacing w:lineRule="auto" w:line="276" w:before="0" w:after="0"/>
        <w:rPr>
          <w:rFonts w:cs="Tahoma"/>
          <w:sz w:val="24"/>
          <w:lang w:val="el-GR" w:eastAsia="el-GR"/>
        </w:rPr>
      </w:pPr>
      <w:r>
        <w:rPr>
          <w:rFonts w:cs="Tahoma"/>
          <w:sz w:val="24"/>
          <w:lang w:val="el-GR" w:eastAsia="el-GR"/>
        </w:rPr>
        <w:t>3) δεν διενήργησα/διενεργήσαμε ούτε θα διενεργήσω/ήσουμε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p>
    <w:p>
      <w:pPr>
        <w:pStyle w:val="Normal"/>
        <w:suppressAutoHyphens w:val="false"/>
        <w:spacing w:lineRule="auto" w:line="276" w:before="0" w:after="0"/>
        <w:rPr>
          <w:rFonts w:cs="Tahoma"/>
          <w:sz w:val="24"/>
          <w:lang w:val="el-GR" w:eastAsia="el-GR"/>
        </w:rPr>
      </w:pPr>
      <w:r>
        <w:rPr>
          <w:rFonts w:cs="Tahoma"/>
          <w:sz w:val="24"/>
          <w:lang w:val="el-GR" w:eastAsia="el-GR"/>
        </w:rPr>
        <w:t>4) δεν πρόσφερα/προσφέραμε ούτε θα προσφέρω/ουμε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pPr>
        <w:pStyle w:val="Normal"/>
        <w:suppressAutoHyphens w:val="false"/>
        <w:spacing w:lineRule="auto" w:line="276" w:before="0" w:after="0"/>
        <w:rPr>
          <w:rFonts w:cs="Tahoma"/>
          <w:sz w:val="24"/>
          <w:lang w:val="el-GR" w:eastAsia="el-GR"/>
        </w:rPr>
      </w:pPr>
      <w:r>
        <w:rPr>
          <w:rFonts w:cs="Tahoma"/>
          <w:sz w:val="24"/>
          <w:lang w:val="el-GR" w:eastAsia="el-GR"/>
        </w:rPr>
        <w:t>5) δεν θα επιχειρήσω/ουμε  να επηρεάσω/ουμε με αθέμιτο τρόπο τη διαδικασία λήψης αποφάσεων της αναθέτουσας αρχής, ούτε θα παράσχω-ουμε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pPr>
        <w:pStyle w:val="Normal"/>
        <w:suppressAutoHyphens w:val="false"/>
        <w:spacing w:lineRule="auto" w:line="276" w:before="0" w:after="0"/>
        <w:rPr/>
      </w:pPr>
      <w:r>
        <w:rPr>
          <w:rFonts w:cs="Tahoma"/>
          <w:sz w:val="24"/>
          <w:lang w:val="el-GR" w:eastAsia="el-GR"/>
        </w:rPr>
        <w:t>6) δεν έχω/ουμε προβεί ούτε θα προβώ/ούμε, άμεσα (ο ίδιος) ή έμμεσα (μέσω τρίτων προσώπων), σε οποιαδήποτε πράξη ή παράλειψη [εναλλακτικά: ότι δεν έχω-ουμε εμπλακεί και δεν θα εμπλακώ-ουμε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pPr>
        <w:pStyle w:val="Normal"/>
        <w:suppressAutoHyphens w:val="false"/>
        <w:spacing w:lineRule="auto" w:line="276" w:before="0" w:after="0"/>
        <w:rPr>
          <w:rFonts w:cs="Tahoma"/>
          <w:sz w:val="24"/>
          <w:lang w:val="el-GR" w:eastAsia="el-GR"/>
        </w:rPr>
      </w:pPr>
      <w:r>
        <w:rPr>
          <w:rFonts w:cs="Tahoma"/>
          <w:sz w:val="24"/>
          <w:lang w:val="el-GR" w:eastAsia="el-GR"/>
        </w:rPr>
        <w:t xml:space="preserve">7) ότι θα απέχω/ουμε από οποιαδήποτε εν γένει συμπεριφορά που συνιστά σοβαρό επαγγελματικό παράπτωμα και θα μπορούσε να θέσει εν αμφιβόλω την ακεραιότητά μου-μας,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8) ότι θα δηλώσω/ουμε στην αναθέτουσα αρχή, αμελλητί με την περιέλευση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pPr>
        <w:pStyle w:val="Normal"/>
        <w:suppressAutoHyphens w:val="false"/>
        <w:spacing w:lineRule="auto" w:line="276" w:before="0" w:after="0"/>
        <w:rPr/>
      </w:pPr>
      <w:r>
        <w:rPr>
          <w:rFonts w:cs="Tahoma"/>
          <w:sz w:val="24"/>
          <w:lang w:val="el-GR" w:eastAsia="el-GR"/>
        </w:rPr>
        <w:t xml:space="preserve">9) </w:t>
      </w:r>
      <w:r>
        <w:rPr>
          <w:rFonts w:cs="Tahoma"/>
          <w:color w:val="0070C0"/>
          <w:sz w:val="24"/>
          <w:lang w:val="el-GR" w:eastAsia="el-GR"/>
        </w:rPr>
        <w:t>[Σε περίπτωση χρησιμοποίησης υπεργολάβου</w:t>
      </w:r>
      <w:r>
        <w:rPr>
          <w:rFonts w:cs="Tahoma"/>
          <w:sz w:val="24"/>
          <w:lang w:val="el-GR" w:eastAsia="el-GR"/>
        </w:rPr>
        <w:t xml:space="preserve">] </w:t>
      </w:r>
    </w:p>
    <w:p>
      <w:pPr>
        <w:pStyle w:val="Normal"/>
        <w:suppressAutoHyphens w:val="false"/>
        <w:spacing w:lineRule="auto" w:line="276" w:before="0" w:after="0"/>
        <w:rPr>
          <w:rFonts w:cs="Tahoma"/>
          <w:sz w:val="24"/>
          <w:lang w:val="el-GR" w:eastAsia="el-GR"/>
        </w:rPr>
      </w:pPr>
      <w:r>
        <w:rPr>
          <w:rFonts w:cs="Tahoma"/>
          <w:sz w:val="24"/>
          <w:lang w:val="el-GR" w:eastAsia="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uppressAutoHyphens w:val="false"/>
        <w:spacing w:lineRule="auto" w:line="276" w:before="0" w:after="0"/>
        <w:rPr>
          <w:rFonts w:cs="Tahoma"/>
          <w:sz w:val="24"/>
          <w:lang w:val="el-GR" w:eastAsia="el-GR"/>
        </w:rPr>
      </w:pPr>
      <w:r>
        <w:rPr>
          <w:rFonts w:cs="Tahoma"/>
          <w:sz w:val="24"/>
          <w:lang w:val="el-GR" w:eastAsia="el-GR"/>
        </w:rPr>
        <w:t>Υπογραφή/Σφραγίδα</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uppressAutoHyphens w:val="false"/>
        <w:spacing w:lineRule="auto" w:line="276" w:before="0" w:after="0"/>
        <w:rPr>
          <w:rFonts w:cs="Tahoma"/>
          <w:sz w:val="24"/>
          <w:lang w:val="el-GR" w:eastAsia="el-GR"/>
        </w:rPr>
      </w:pPr>
      <w:r>
        <w:rPr>
          <w:rFonts w:cs="Tahoma"/>
          <w:sz w:val="24"/>
          <w:lang w:val="el-GR" w:eastAsia="el-GR"/>
        </w:rPr>
        <w:t xml:space="preserve">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uppressAutoHyphens w:val="false"/>
        <w:spacing w:lineRule="auto" w:line="276" w:before="0" w:after="0"/>
        <w:rPr>
          <w:rFonts w:cs="Tahoma"/>
          <w:sz w:val="24"/>
          <w:lang w:val="el-GR" w:eastAsia="el-GR"/>
        </w:rPr>
      </w:pPr>
      <w:r>
        <w:rPr>
          <w:rFonts w:cs="Tahoma"/>
          <w:sz w:val="24"/>
          <w:lang w:val="el-GR" w:eastAsia="el-GR"/>
        </w:rPr>
        <w:t>Υπογραφή/Σφραγίδα</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uppressAutoHyphens w:val="false"/>
        <w:spacing w:lineRule="auto" w:line="276" w:before="0" w:after="0"/>
        <w:rPr>
          <w:rFonts w:cs="Tahoma"/>
          <w:sz w:val="24"/>
          <w:lang w:val="el-GR" w:eastAsia="el-GR"/>
        </w:rPr>
      </w:pPr>
      <w:r>
        <w:rPr>
          <w:rFonts w:cs="Tahoma"/>
          <w:sz w:val="24"/>
          <w:lang w:val="el-GR" w:eastAsia="el-GR"/>
        </w:rPr>
        <w:t>……………………………</w:t>
      </w:r>
      <w:r>
        <w:rPr>
          <w:rFonts w:cs="Tahoma"/>
          <w:sz w:val="24"/>
          <w:lang w:val="el-GR" w:eastAsia="el-GR"/>
        </w:rPr>
        <w:t>..</w:t>
      </w:r>
    </w:p>
    <w:p>
      <w:pPr>
        <w:pStyle w:val="Normal"/>
        <w:suppressAutoHyphens w:val="false"/>
        <w:spacing w:lineRule="auto" w:line="276" w:before="0" w:after="0"/>
        <w:rPr>
          <w:rFonts w:cs="Tahoma"/>
          <w:sz w:val="24"/>
          <w:lang w:val="el-GR" w:eastAsia="el-GR"/>
        </w:rPr>
      </w:pPr>
      <w:r>
        <w:rPr>
          <w:rFonts w:cs="Tahoma"/>
          <w:sz w:val="24"/>
          <w:lang w:val="el-GR" w:eastAsia="el-GR"/>
        </w:rPr>
      </w:r>
    </w:p>
    <w:p>
      <w:pPr>
        <w:pStyle w:val="Normal"/>
        <w:suppressAutoHyphens w:val="false"/>
        <w:spacing w:lineRule="auto" w:line="276" w:before="0" w:after="0"/>
        <w:jc w:val="left"/>
        <w:rPr>
          <w:rFonts w:eastAsia="Arial Unicode MS" w:cs="Tahoma"/>
          <w:sz w:val="24"/>
          <w:lang w:val="el-GR"/>
        </w:rPr>
      </w:pPr>
      <w:r>
        <w:rPr>
          <w:rFonts w:eastAsia="Arial Unicode MS" w:cs="Tahoma"/>
          <w:sz w:val="24"/>
          <w:lang w:val="el-GR"/>
        </w:rPr>
      </w:r>
      <w:r>
        <w:br w:type="page"/>
      </w:r>
    </w:p>
    <w:p>
      <w:pPr>
        <w:pStyle w:val="2"/>
        <w:spacing w:lineRule="auto" w:line="276"/>
        <w:ind w:left="567" w:right="0" w:hanging="567"/>
        <w:rPr/>
      </w:pPr>
      <w:bookmarkStart w:id="343" w:name="__RefHeading___Toc35731_1890191151"/>
      <w:bookmarkStart w:id="344" w:name="_Toc138844723"/>
      <w:bookmarkStart w:id="345" w:name="_Toc138061940"/>
      <w:bookmarkEnd w:id="343"/>
      <w:r>
        <w:rPr>
          <w:rFonts w:cs="Tahoma" w:ascii="Calibri" w:hAnsi="Calibri"/>
          <w:i/>
          <w:sz w:val="24"/>
          <w:szCs w:val="24"/>
          <w:lang w:val="el-GR"/>
        </w:rPr>
        <w:t>ΠΑΡΑΡΤΗΜΑ</w:t>
      </w:r>
      <w:bookmarkEnd w:id="345"/>
      <w:r>
        <w:rPr>
          <w:rFonts w:cs="Tahoma" w:ascii="Calibri" w:hAnsi="Calibri"/>
          <w:i/>
          <w:sz w:val="24"/>
          <w:szCs w:val="24"/>
          <w:lang w:val="el-GR"/>
        </w:rPr>
        <w:t xml:space="preserve"> ΙΙ</w:t>
      </w:r>
      <w:bookmarkEnd w:id="344"/>
    </w:p>
    <w:p>
      <w:pPr>
        <w:pStyle w:val="2"/>
        <w:tabs>
          <w:tab w:val="clear" w:pos="567"/>
          <w:tab w:val="left" w:pos="-142" w:leader="none"/>
        </w:tabs>
        <w:spacing w:lineRule="auto" w:line="276"/>
        <w:ind w:left="0" w:right="0" w:hanging="0"/>
        <w:rPr/>
      </w:pPr>
      <w:bookmarkStart w:id="346" w:name="__RefHeading___Toc35733_1890191151"/>
      <w:bookmarkStart w:id="347" w:name="_Toc138061941"/>
      <w:bookmarkStart w:id="348" w:name="_Toc138844724"/>
      <w:bookmarkEnd w:id="346"/>
      <w:r>
        <w:rPr>
          <w:rFonts w:eastAsia="Arial Unicode MS" w:cs="Tahoma" w:ascii="Calibri" w:hAnsi="Calibri"/>
          <w:i/>
          <w:sz w:val="24"/>
          <w:szCs w:val="24"/>
          <w:lang w:val="el-GR"/>
        </w:rPr>
        <w:t xml:space="preserve">ΣΧΕΔΙΟ </w:t>
      </w:r>
      <w:r>
        <w:rPr>
          <w:rFonts w:cs="Tahoma" w:ascii="Calibri" w:hAnsi="Calibri"/>
          <w:i/>
          <w:sz w:val="24"/>
          <w:szCs w:val="24"/>
          <w:lang w:val="el-GR"/>
        </w:rPr>
        <w:t>ΠΡΑΚΤΙΚΟΥ ΕΠΙΤΡΟΠΗΣ ΠΑΡΑΚΟΛΟΥΘΗΣΗΣ, ΕΛΕΓΧΟΥ ΚΑΙ ΠΑΡΑΛΑΒΗΣ ΥΠΗΡΕΣΙΩΝ ΚΑΘΑΡΙΣΜΟΥ ΚΤΙΡΙΟΥ</w:t>
      </w:r>
      <w:bookmarkEnd w:id="347"/>
      <w:bookmarkEnd w:id="348"/>
    </w:p>
    <w:p>
      <w:pPr>
        <w:pStyle w:val="Normal"/>
        <w:spacing w:lineRule="auto" w:line="276"/>
        <w:rPr>
          <w:sz w:val="24"/>
          <w:lang w:val="el-GR"/>
        </w:rPr>
      </w:pPr>
      <w:r>
        <w:rPr>
          <w:sz w:val="24"/>
          <w:lang w:val="el-GR"/>
        </w:rPr>
      </w:r>
      <w:bookmarkStart w:id="349" w:name="_Hlk34207213"/>
      <w:bookmarkStart w:id="350" w:name="_Hlk34207213"/>
      <w:bookmarkEnd w:id="350"/>
    </w:p>
    <w:tbl>
      <w:tblPr>
        <w:tblW w:w="9358" w:type="dxa"/>
        <w:jc w:val="left"/>
        <w:tblInd w:w="0" w:type="dxa"/>
        <w:tblCellMar>
          <w:top w:w="55" w:type="dxa"/>
          <w:left w:w="55" w:type="dxa"/>
          <w:bottom w:w="55" w:type="dxa"/>
          <w:right w:w="55" w:type="dxa"/>
        </w:tblCellMar>
      </w:tblPr>
      <w:tblGrid>
        <w:gridCol w:w="6120"/>
        <w:gridCol w:w="3237"/>
      </w:tblGrid>
      <w:tr>
        <w:trPr/>
        <w:tc>
          <w:tcPr>
            <w:tcW w:w="6120" w:type="dxa"/>
            <w:tcBorders/>
            <w:shd w:color="auto" w:fill="auto" w:val="clear"/>
          </w:tcPr>
          <w:p>
            <w:pPr>
              <w:pStyle w:val="Normal"/>
              <w:tabs>
                <w:tab w:val="clear" w:pos="720"/>
                <w:tab w:val="left" w:pos="4996" w:leader="none"/>
              </w:tabs>
              <w:spacing w:lineRule="auto" w:line="276" w:before="0" w:after="0"/>
              <w:ind w:left="-108" w:right="0" w:hanging="0"/>
              <w:jc w:val="center"/>
              <w:rPr/>
            </w:pPr>
            <w:r>
              <w:rPr/>
              <w:drawing>
                <wp:inline distT="0" distB="0" distL="0" distR="0">
                  <wp:extent cx="397510" cy="418465"/>
                  <wp:effectExtent l="0" t="0" r="0" b="0"/>
                  <wp:docPr id="13" name="Εικόνα3"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3" descr="https://encrypted-tbn1.gstatic.com/images?q=tbn:ANd9GcRQFBh6D7GX0t_9wVKqNVmKUT17t725cJ2zXkPAwlaTHH_YCwcceemZJw"/>
                          <pic:cNvPicPr>
                            <a:picLocks noChangeAspect="1" noChangeArrowheads="1"/>
                          </pic:cNvPicPr>
                        </pic:nvPicPr>
                        <pic:blipFill>
                          <a:blip r:embed="rId66"/>
                          <a:stretch>
                            <a:fillRect/>
                          </a:stretch>
                        </pic:blipFill>
                        <pic:spPr bwMode="auto">
                          <a:xfrm>
                            <a:off x="0" y="0"/>
                            <a:ext cx="397510" cy="418465"/>
                          </a:xfrm>
                          <a:prstGeom prst="rect">
                            <a:avLst/>
                          </a:prstGeom>
                        </pic:spPr>
                      </pic:pic>
                    </a:graphicData>
                  </a:graphic>
                </wp:inline>
              </w:drawing>
            </w:r>
          </w:p>
          <w:p>
            <w:pPr>
              <w:pStyle w:val="Normal"/>
              <w:tabs>
                <w:tab w:val="clear" w:pos="720"/>
                <w:tab w:val="left" w:pos="4996" w:leader="none"/>
              </w:tabs>
              <w:spacing w:lineRule="auto" w:line="276" w:before="0" w:after="0"/>
              <w:ind w:left="-108" w:right="0" w:hanging="0"/>
              <w:jc w:val="center"/>
              <w:rPr>
                <w:rFonts w:eastAsia="Arial Unicode MS" w:cs="Tahoma"/>
                <w:b/>
                <w:b/>
                <w:sz w:val="24"/>
                <w:lang w:val="el-GR"/>
              </w:rPr>
            </w:pPr>
            <w:r>
              <w:rPr>
                <w:rFonts w:eastAsia="Arial Unicode MS" w:cs="Tahoma"/>
                <w:b/>
                <w:sz w:val="24"/>
                <w:lang w:val="el-GR"/>
              </w:rPr>
              <w:t>ΕΛΛΗΝΙΚΗ ΔΗΜΟΚΡΑΤΙΑ</w:t>
            </w:r>
          </w:p>
          <w:p>
            <w:pPr>
              <w:pStyle w:val="Normal"/>
              <w:tabs>
                <w:tab w:val="clear" w:pos="720"/>
                <w:tab w:val="left" w:pos="4996" w:leader="none"/>
              </w:tabs>
              <w:spacing w:lineRule="auto" w:line="276" w:before="0" w:after="0"/>
              <w:ind w:left="-108" w:right="0" w:hanging="0"/>
              <w:jc w:val="center"/>
              <w:rPr>
                <w:rFonts w:eastAsia="Arial Unicode MS" w:cs="Tahoma"/>
                <w:b/>
                <w:b/>
                <w:sz w:val="24"/>
                <w:lang w:val="el-GR"/>
              </w:rPr>
            </w:pPr>
            <w:r>
              <w:rPr>
                <w:rFonts w:eastAsia="Arial Unicode MS" w:cs="Tahoma"/>
                <w:b/>
                <w:sz w:val="24"/>
                <w:lang w:val="el-GR"/>
              </w:rPr>
              <w:t>ΥΠΟΥΡΓΕΙΟ ΕΡΓΑΣΙΑΣ &amp; ΚΟΙΝΩΝΙΚΩΝ ΥΠΟΘΕΣΕΩΝ</w:t>
            </w:r>
          </w:p>
          <w:p>
            <w:pPr>
              <w:pStyle w:val="Normal"/>
              <w:tabs>
                <w:tab w:val="clear" w:pos="720"/>
                <w:tab w:val="left" w:pos="4996" w:leader="none"/>
              </w:tabs>
              <w:spacing w:lineRule="auto" w:line="276" w:before="57" w:after="57"/>
              <w:ind w:left="-108" w:right="0" w:hanging="0"/>
              <w:jc w:val="center"/>
              <w:rPr/>
            </w:pPr>
            <w:r>
              <w:rPr>
                <w:rFonts w:eastAsia="Arial Unicode MS" w:cs="Tahoma"/>
                <w:b/>
                <w:color w:val="365F91"/>
                <w:sz w:val="24"/>
                <w:lang w:val="en-US"/>
              </w:rPr>
              <w:t>e</w:t>
            </w:r>
            <w:r>
              <w:rPr>
                <w:rFonts w:eastAsia="Arial Unicode MS" w:cs="Tahoma"/>
                <w:b/>
                <w:color w:val="365F91"/>
                <w:sz w:val="24"/>
                <w:lang w:val="el-GR"/>
              </w:rPr>
              <w:t>-ΕΦΚΑ</w:t>
            </w:r>
          </w:p>
          <w:p>
            <w:pPr>
              <w:pStyle w:val="Normal"/>
              <w:tabs>
                <w:tab w:val="clear" w:pos="720"/>
                <w:tab w:val="left" w:pos="4996" w:leader="none"/>
              </w:tabs>
              <w:spacing w:lineRule="auto" w:line="276" w:before="0" w:after="0"/>
              <w:ind w:left="-108" w:right="0" w:hanging="0"/>
              <w:jc w:val="center"/>
              <w:rPr>
                <w:rFonts w:eastAsia="Arial Unicode MS" w:cs="Tahoma"/>
                <w:b/>
                <w:b/>
                <w:color w:val="365F91"/>
                <w:sz w:val="24"/>
                <w:lang w:val="el-GR"/>
              </w:rPr>
            </w:pPr>
            <w:r>
              <w:rPr>
                <w:rFonts w:eastAsia="Arial Unicode MS" w:cs="Tahoma"/>
                <w:b/>
                <w:color w:val="365F91"/>
                <w:sz w:val="24"/>
                <w:lang w:val="el-GR"/>
              </w:rPr>
              <w:t>ΗΛΕΚΤΡΟΝΙΚΟΣ ΕΘΝΙΚΟΣ ΦΟΡΕΑΣ ΚΟΙΝΩΝΙΚΗΣ ΑΣΦΑΛΙΣΗΣ</w:t>
            </w:r>
          </w:p>
        </w:tc>
        <w:tc>
          <w:tcPr>
            <w:tcW w:w="3237" w:type="dxa"/>
            <w:tcBorders/>
            <w:shd w:color="auto" w:fill="auto" w:val="clear"/>
          </w:tcPr>
          <w:p>
            <w:pPr>
              <w:pStyle w:val="Style29"/>
              <w:spacing w:before="0" w:after="200"/>
              <w:rPr>
                <w:sz w:val="24"/>
                <w:szCs w:val="24"/>
              </w:rPr>
            </w:pPr>
            <w:r>
              <w:rPr>
                <w:sz w:val="24"/>
                <w:szCs w:val="24"/>
              </w:rPr>
            </w:r>
          </w:p>
        </w:tc>
      </w:tr>
    </w:tbl>
    <w:p>
      <w:pPr>
        <w:pStyle w:val="Normal"/>
        <w:spacing w:lineRule="auto" w:line="276"/>
        <w:jc w:val="center"/>
        <w:rPr>
          <w:rFonts w:cs="Tahoma"/>
          <w:b/>
          <w:b/>
          <w:u w:val="single"/>
          <w:lang w:val="el-GR"/>
        </w:rPr>
      </w:pPr>
      <w:r>
        <w:rPr>
          <w:rFonts w:cs="Tahoma"/>
          <w:b/>
          <w:u w:val="single"/>
          <w:lang w:val="el-GR"/>
        </w:rPr>
      </w:r>
    </w:p>
    <w:p>
      <w:pPr>
        <w:pStyle w:val="Normal"/>
        <w:spacing w:lineRule="auto" w:line="276"/>
        <w:jc w:val="center"/>
        <w:rPr>
          <w:rFonts w:cs="Tahoma"/>
          <w:b/>
          <w:b/>
          <w:sz w:val="24"/>
          <w:u w:val="single"/>
          <w:lang w:val="el-GR"/>
        </w:rPr>
      </w:pPr>
      <w:r>
        <w:rPr>
          <w:rFonts w:cs="Tahoma"/>
          <w:b/>
          <w:sz w:val="24"/>
          <w:u w:val="single"/>
          <w:lang w:val="el-GR"/>
        </w:rPr>
        <w:t>ΠΡΑΚΤΙΚΟ ΕΠΙΤΡΟΠΗΣ ΠΑΡΑΚΟΛΟΥΘΗΣΗΣ, ΕΛΕΓΧΟΥ ΚΑΙ ΠΑΡΑΛΑΒΗΣ ΥΠΗΡΕΣΙΩΝ ΚΑΘΑΡΙΣΜΟΥ ΚΤΙΡΙΟΥ ……………………………………………………………….</w:t>
      </w:r>
    </w:p>
    <w:p>
      <w:pPr>
        <w:pStyle w:val="Normal"/>
        <w:spacing w:lineRule="auto" w:line="276"/>
        <w:rPr>
          <w:rFonts w:cs="Tahoma"/>
          <w:sz w:val="24"/>
          <w:lang w:val="el-GR"/>
        </w:rPr>
      </w:pPr>
      <w:r>
        <w:rPr>
          <w:rFonts w:cs="Tahoma"/>
          <w:sz w:val="24"/>
          <w:lang w:val="el-GR"/>
        </w:rPr>
        <w:t>Σήμερα, ………/….…../2023, ημέρα ……………………………..…….…………., η Επιτροπή Παρακολούθησης και Παραλαβής των υπηρεσιών καθαριότητας, που συγκροτήθηκε με την υπ’ αρ. πρωτ. ………............................ απόφαση τ…… Προϊσταμέν……….  της  ………………………………………….. αποτελούμενη από τους κάτωθι Υπαλλήλους:</w:t>
      </w:r>
    </w:p>
    <w:p>
      <w:pPr>
        <w:pStyle w:val="Normal"/>
        <w:numPr>
          <w:ilvl w:val="0"/>
          <w:numId w:val="24"/>
        </w:numPr>
        <w:suppressAutoHyphens w:val="false"/>
        <w:spacing w:lineRule="auto" w:line="276" w:before="0" w:after="200"/>
        <w:rPr/>
      </w:pPr>
      <w:r>
        <w:rPr>
          <w:rFonts w:cs="Tahoma"/>
          <w:b/>
          <w:sz w:val="24"/>
          <w:lang w:val="el-GR"/>
        </w:rPr>
        <w:t>………………………………………</w:t>
      </w:r>
      <w:r>
        <w:rPr>
          <w:rFonts w:cs="Tahoma"/>
          <w:sz w:val="24"/>
          <w:lang w:val="el-GR"/>
        </w:rPr>
        <w:t>, πρόεδρος της Επιτροπής</w:t>
      </w:r>
    </w:p>
    <w:p>
      <w:pPr>
        <w:pStyle w:val="Normal"/>
        <w:numPr>
          <w:ilvl w:val="0"/>
          <w:numId w:val="24"/>
        </w:numPr>
        <w:suppressAutoHyphens w:val="false"/>
        <w:spacing w:lineRule="auto" w:line="276" w:before="0" w:after="200"/>
        <w:rPr>
          <w:rFonts w:cs="Tahoma"/>
          <w:sz w:val="24"/>
          <w:lang w:val="el-GR"/>
        </w:rPr>
      </w:pPr>
      <w:r>
        <w:rPr>
          <w:rFonts w:cs="Tahoma"/>
          <w:sz w:val="24"/>
          <w:lang w:val="el-GR"/>
        </w:rPr>
        <w:t>………………………………………………</w:t>
      </w:r>
      <w:r>
        <w:rPr>
          <w:rFonts w:cs="Tahoma"/>
          <w:sz w:val="24"/>
          <w:lang w:val="el-GR"/>
        </w:rPr>
        <w:t xml:space="preserve">.., μέλος της Επιτροπής </w:t>
      </w:r>
    </w:p>
    <w:p>
      <w:pPr>
        <w:pStyle w:val="Normal"/>
        <w:numPr>
          <w:ilvl w:val="0"/>
          <w:numId w:val="24"/>
        </w:numPr>
        <w:suppressAutoHyphens w:val="false"/>
        <w:spacing w:lineRule="auto" w:line="276" w:before="0" w:after="200"/>
        <w:rPr>
          <w:rFonts w:cs="Tahoma"/>
          <w:sz w:val="24"/>
          <w:lang w:val="el-GR"/>
        </w:rPr>
      </w:pPr>
      <w:r>
        <w:rPr>
          <w:rFonts w:cs="Tahoma"/>
          <w:sz w:val="24"/>
          <w:lang w:val="el-GR"/>
        </w:rPr>
        <w:t>………………………………………………</w:t>
      </w:r>
      <w:r>
        <w:rPr>
          <w:rFonts w:cs="Tahoma"/>
          <w:sz w:val="24"/>
          <w:lang w:val="el-GR"/>
        </w:rPr>
        <w:t>., μέλος της Επιτροπής</w:t>
      </w:r>
    </w:p>
    <w:p>
      <w:pPr>
        <w:pStyle w:val="Normal"/>
        <w:spacing w:lineRule="auto" w:line="276"/>
        <w:rPr/>
      </w:pPr>
      <w:r>
        <w:rPr>
          <w:rFonts w:cs="Tahoma"/>
          <w:sz w:val="24"/>
          <w:lang w:val="el-GR"/>
        </w:rPr>
        <w:t xml:space="preserve">προκειμένου να κρίνει  τον καθαρισμό των χώρων του κτιρίου ………………………………. για  χρονικό διάστημα από </w:t>
      </w:r>
      <w:r>
        <w:rPr>
          <w:rFonts w:cs="Tahoma"/>
          <w:b/>
          <w:sz w:val="24"/>
          <w:lang w:val="el-GR"/>
        </w:rPr>
        <w:t>……………./…………./202…. μέχρι ………../………./202…</w:t>
      </w:r>
      <w:r>
        <w:rPr>
          <w:rFonts w:cs="Tahoma"/>
          <w:sz w:val="24"/>
          <w:lang w:val="el-GR"/>
        </w:rPr>
        <w:t xml:space="preserve">, από τον ανάδοχο </w:t>
      </w:r>
      <w:r>
        <w:rPr>
          <w:rFonts w:cs="Tahoma"/>
          <w:b/>
          <w:sz w:val="24"/>
          <w:lang w:val="el-GR"/>
        </w:rPr>
        <w:t>«………………………………………</w:t>
      </w:r>
      <w:r>
        <w:rPr>
          <w:rFonts w:cs="Tahoma"/>
          <w:b/>
          <w:bCs/>
          <w:sz w:val="24"/>
          <w:lang w:val="el-GR"/>
        </w:rPr>
        <w:t xml:space="preserve">» </w:t>
      </w:r>
      <w:r>
        <w:rPr>
          <w:rFonts w:cs="Tahoma"/>
          <w:sz w:val="24"/>
          <w:lang w:val="el-GR"/>
        </w:rPr>
        <w:t xml:space="preserve">στον οποίο έχει ανατεθεί το έργο. </w:t>
      </w:r>
    </w:p>
    <w:p>
      <w:pPr>
        <w:pStyle w:val="Normal"/>
        <w:spacing w:lineRule="auto" w:line="276"/>
        <w:rPr>
          <w:rFonts w:cs="Tahoma"/>
          <w:sz w:val="24"/>
        </w:rPr>
      </w:pPr>
      <w:r>
        <w:rPr>
          <w:rFonts w:cs="Tahoma"/>
          <w:sz w:val="24"/>
        </w:rPr>
        <w:t>Αφού έλαβε υπόψη της:</w:t>
      </w:r>
    </w:p>
    <w:p>
      <w:pPr>
        <w:pStyle w:val="Normal"/>
        <w:numPr>
          <w:ilvl w:val="0"/>
          <w:numId w:val="25"/>
        </w:numPr>
        <w:spacing w:before="0" w:after="0"/>
        <w:ind w:left="709" w:right="0" w:hanging="360"/>
        <w:contextualSpacing/>
        <w:jc w:val="both"/>
        <w:rPr>
          <w:rFonts w:cs="Tahoma"/>
          <w:sz w:val="24"/>
          <w:szCs w:val="24"/>
        </w:rPr>
      </w:pPr>
      <w:r>
        <w:rPr>
          <w:rFonts w:cs="Tahoma"/>
          <w:sz w:val="24"/>
          <w:szCs w:val="24"/>
        </w:rPr>
        <w:t>Την από …………………………………….. ( ΑΔΑΜ: ………………. ) Σύμβαση,</w:t>
      </w:r>
    </w:p>
    <w:p>
      <w:pPr>
        <w:pStyle w:val="Normal"/>
        <w:numPr>
          <w:ilvl w:val="0"/>
          <w:numId w:val="25"/>
        </w:numPr>
        <w:spacing w:before="0" w:after="0"/>
        <w:ind w:left="709" w:right="0" w:hanging="360"/>
        <w:contextualSpacing/>
        <w:jc w:val="both"/>
        <w:rPr>
          <w:rFonts w:cs="Tahoma"/>
          <w:sz w:val="24"/>
          <w:szCs w:val="24"/>
        </w:rPr>
      </w:pPr>
      <w:r>
        <w:rPr>
          <w:rFonts w:cs="Tahoma"/>
          <w:sz w:val="24"/>
          <w:szCs w:val="24"/>
        </w:rPr>
        <w:t>Όλα τα τηρούμενα έγγραφα στοιχεία του οικείου φακέλου, τα οποία μελέτησε προσεκτικά.</w:t>
      </w:r>
    </w:p>
    <w:p>
      <w:pPr>
        <w:pStyle w:val="Normal"/>
        <w:numPr>
          <w:ilvl w:val="0"/>
          <w:numId w:val="25"/>
        </w:numPr>
        <w:spacing w:before="0" w:after="0"/>
        <w:ind w:left="709" w:right="0" w:hanging="360"/>
        <w:contextualSpacing/>
        <w:jc w:val="both"/>
        <w:rPr>
          <w:rFonts w:cs="Tahoma"/>
          <w:sz w:val="24"/>
          <w:szCs w:val="24"/>
        </w:rPr>
      </w:pPr>
      <w:r>
        <w:rPr>
          <w:rFonts w:cs="Tahoma"/>
          <w:sz w:val="24"/>
          <w:szCs w:val="24"/>
        </w:rPr>
        <w:t>Την προσωπική γνώμη των μελών της από την συνεχή παρακολούθηση και τον έλεγχο όλων των χώρων του κτιρίου.</w:t>
      </w:r>
    </w:p>
    <w:p>
      <w:pPr>
        <w:pStyle w:val="Normal"/>
        <w:spacing w:lineRule="auto" w:line="276"/>
        <w:rPr/>
      </w:pPr>
      <w:r>
        <w:rPr>
          <w:rFonts w:cs="Tahoma"/>
          <w:sz w:val="24"/>
          <w:lang w:val="el-GR"/>
        </w:rPr>
        <w:t xml:space="preserve">Πιστοποιεί  για το χρονικό διάστημα από </w:t>
      </w:r>
      <w:r>
        <w:rPr>
          <w:rFonts w:cs="Tahoma"/>
          <w:b/>
          <w:sz w:val="24"/>
          <w:lang w:val="el-GR"/>
        </w:rPr>
        <w:t xml:space="preserve">……………………../…………………/2023 μέχρι……………/……………./2023  </w:t>
      </w:r>
      <w:r>
        <w:rPr>
          <w:rFonts w:cs="Tahoma"/>
          <w:sz w:val="24"/>
          <w:lang w:val="el-GR"/>
        </w:rPr>
        <w:t xml:space="preserve">τόσο η εκτέλεση των εργασιών καθαρισμού όλων των χώρων του κτιρίου …………………………………….., όσο και η τήρηση όλων των συμβατικών υποχρεώσεων από τον ανάδοχο  </w:t>
      </w:r>
      <w:r>
        <w:rPr>
          <w:rFonts w:cs="Tahoma"/>
          <w:b/>
          <w:sz w:val="24"/>
          <w:lang w:val="el-GR"/>
        </w:rPr>
        <w:t>«…………………………………………………………………..</w:t>
      </w:r>
      <w:r>
        <w:rPr>
          <w:rFonts w:cs="Tahoma"/>
          <w:b/>
          <w:bCs/>
          <w:sz w:val="24"/>
          <w:lang w:val="el-GR"/>
        </w:rPr>
        <w:t xml:space="preserve">» </w:t>
      </w:r>
      <w:r>
        <w:rPr>
          <w:rFonts w:cs="Tahoma"/>
          <w:sz w:val="24"/>
          <w:lang w:val="el-GR"/>
        </w:rPr>
        <w:t xml:space="preserve"> έγιναν σύμφωνα με τα οριζόμενα στην από …………………………….. (ΑΔΑΜ: ……………………………………..) σύμβαση παροχής υπηρεσιών μεταξύ του Ηλεκτρονικού Εθνικού Φορέα Κοινωνικής Ασφάλισης </w:t>
      </w:r>
      <w:r>
        <w:rPr>
          <w:rFonts w:cs="Tahoma"/>
          <w:sz w:val="24"/>
        </w:rPr>
        <w:t>e</w:t>
      </w:r>
      <w:r>
        <w:rPr>
          <w:rFonts w:cs="Tahoma"/>
          <w:sz w:val="24"/>
          <w:lang w:val="el-GR"/>
        </w:rPr>
        <w:t xml:space="preserve">- Ε.Φ.Κ.Α.- Π.Υ.Σ.Υ. Θεσσαλίας και του αναδόχου, χωρίς καμία παρέκκλιση από αυτά. </w:t>
      </w:r>
    </w:p>
    <w:tbl>
      <w:tblPr>
        <w:tblW w:w="9290" w:type="dxa"/>
        <w:jc w:val="left"/>
        <w:tblInd w:w="142" w:type="dxa"/>
        <w:tblCellMar>
          <w:top w:w="0" w:type="dxa"/>
          <w:left w:w="108" w:type="dxa"/>
          <w:bottom w:w="0" w:type="dxa"/>
          <w:right w:w="108" w:type="dxa"/>
        </w:tblCellMar>
      </w:tblPr>
      <w:tblGrid>
        <w:gridCol w:w="3415"/>
        <w:gridCol w:w="5874"/>
      </w:tblGrid>
      <w:tr>
        <w:trPr>
          <w:trHeight w:val="637" w:hRule="atLeast"/>
        </w:trPr>
        <w:tc>
          <w:tcPr>
            <w:tcW w:w="9289" w:type="dxa"/>
            <w:gridSpan w:val="2"/>
            <w:tcBorders/>
            <w:shd w:color="auto" w:fill="auto" w:val="clear"/>
            <w:vAlign w:val="center"/>
          </w:tcPr>
          <w:p>
            <w:pPr>
              <w:pStyle w:val="Normal"/>
              <w:tabs>
                <w:tab w:val="clear" w:pos="720"/>
                <w:tab w:val="left" w:pos="8460" w:leader="none"/>
              </w:tabs>
              <w:spacing w:before="0" w:after="200"/>
              <w:ind w:left="0" w:right="794" w:hanging="0"/>
              <w:jc w:val="center"/>
              <w:rPr>
                <w:rFonts w:cs="Tahoma"/>
                <w:b/>
                <w:b/>
                <w:sz w:val="24"/>
                <w:lang w:val="el-GR"/>
              </w:rPr>
            </w:pPr>
            <w:r>
              <w:rPr>
                <w:rFonts w:cs="Tahoma"/>
                <w:b/>
                <w:sz w:val="24"/>
                <w:lang w:val="el-GR"/>
              </w:rPr>
              <w:t>Η ΕΠΙΤΡΟΠΗ ΠΑΡΑΚΟΛΟΥΘΗΣΗΣ ΚΑΙ ΠΑΡΑΛΑΒΗΣ</w:t>
            </w:r>
          </w:p>
        </w:tc>
      </w:tr>
      <w:tr>
        <w:trPr>
          <w:trHeight w:val="437" w:hRule="atLeast"/>
        </w:trPr>
        <w:tc>
          <w:tcPr>
            <w:tcW w:w="3415" w:type="dxa"/>
            <w:tcBorders/>
            <w:shd w:color="auto" w:fill="auto" w:val="clear"/>
          </w:tcPr>
          <w:p>
            <w:pPr>
              <w:pStyle w:val="Normal"/>
              <w:tabs>
                <w:tab w:val="clear" w:pos="720"/>
                <w:tab w:val="left" w:pos="8460" w:leader="none"/>
              </w:tabs>
              <w:spacing w:before="0" w:after="200"/>
              <w:jc w:val="center"/>
              <w:rPr>
                <w:rFonts w:cs="Tahoma"/>
                <w:b/>
                <w:b/>
                <w:sz w:val="24"/>
              </w:rPr>
            </w:pPr>
            <w:r>
              <w:rPr>
                <w:rFonts w:cs="Tahoma"/>
                <w:b/>
                <w:sz w:val="24"/>
              </w:rPr>
              <w:t>Ο ΠΡΟΕΔΡΟΣ</w:t>
            </w:r>
          </w:p>
          <w:p>
            <w:pPr>
              <w:pStyle w:val="Normal"/>
              <w:tabs>
                <w:tab w:val="clear" w:pos="720"/>
                <w:tab w:val="left" w:pos="8460" w:leader="none"/>
              </w:tabs>
              <w:spacing w:before="0" w:after="200"/>
              <w:jc w:val="center"/>
              <w:rPr>
                <w:rFonts w:cs="Tahoma"/>
                <w:sz w:val="24"/>
              </w:rPr>
            </w:pPr>
            <w:r>
              <w:rPr>
                <w:rFonts w:cs="Tahoma"/>
                <w:sz w:val="24"/>
              </w:rPr>
              <w:t>........................................</w:t>
            </w:r>
          </w:p>
        </w:tc>
        <w:tc>
          <w:tcPr>
            <w:tcW w:w="5874" w:type="dxa"/>
            <w:tcBorders/>
            <w:shd w:color="auto" w:fill="auto" w:val="clear"/>
          </w:tcPr>
          <w:p>
            <w:pPr>
              <w:pStyle w:val="Normal"/>
              <w:tabs>
                <w:tab w:val="clear" w:pos="720"/>
                <w:tab w:val="left" w:pos="8460" w:leader="none"/>
              </w:tabs>
              <w:spacing w:before="0" w:after="200"/>
              <w:jc w:val="center"/>
              <w:rPr>
                <w:rFonts w:cs="Tahoma"/>
                <w:b/>
                <w:b/>
                <w:sz w:val="24"/>
              </w:rPr>
            </w:pPr>
            <w:r>
              <w:rPr>
                <w:rFonts w:cs="Tahoma"/>
                <w:b/>
                <w:sz w:val="24"/>
              </w:rPr>
              <w:t>ΤΑ ΜΕΛΗ</w:t>
            </w:r>
          </w:p>
          <w:p>
            <w:pPr>
              <w:pStyle w:val="Normal"/>
              <w:tabs>
                <w:tab w:val="clear" w:pos="720"/>
                <w:tab w:val="left" w:pos="8460" w:leader="none"/>
              </w:tabs>
              <w:spacing w:before="0" w:after="200"/>
              <w:jc w:val="center"/>
              <w:rPr>
                <w:rFonts w:cs="Tahoma"/>
                <w:sz w:val="24"/>
              </w:rPr>
            </w:pPr>
            <w:r>
              <w:rPr>
                <w:rFonts w:cs="Tahoma"/>
                <w:sz w:val="24"/>
              </w:rPr>
              <w:t>........................................................................</w:t>
            </w:r>
          </w:p>
        </w:tc>
      </w:tr>
    </w:tbl>
    <w:p>
      <w:pPr>
        <w:pStyle w:val="Normal"/>
        <w:spacing w:before="0" w:after="120"/>
        <w:rPr/>
      </w:pPr>
      <w:r>
        <w:rPr/>
      </w:r>
    </w:p>
    <w:sectPr>
      <w:headerReference w:type="default" r:id="rId67"/>
      <w:footerReference w:type="default" r:id="rId68"/>
      <w:footnotePr>
        <w:numFmt w:val="decimal"/>
      </w:footnotePr>
      <w:type w:val="nextPage"/>
      <w:pgSz w:w="12240" w:h="15840"/>
      <w:pgMar w:left="1800" w:right="1031" w:header="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Arial">
    <w:charset w:val="a1"/>
    <w:family w:val="roman"/>
    <w:pitch w:val="variable"/>
  </w:font>
  <w:font w:name="Lucida Sans">
    <w:charset w:val="a1"/>
    <w:family w:val="roman"/>
    <w:pitch w:val="variable"/>
  </w:font>
  <w:font w:name="Symbol">
    <w:charset w:val="a1"/>
    <w:family w:val="roman"/>
    <w:pitch w:val="variable"/>
  </w:font>
  <w:font w:name="Webdings">
    <w:charset w:val="a1"/>
    <w:family w:val="roman"/>
    <w:pitch w:val="variable"/>
  </w:font>
  <w:font w:name="Angsana New">
    <w:charset w:val="a1"/>
    <w:family w:val="roman"/>
    <w:pitch w:val="variable"/>
  </w:font>
  <w:font w:name="Courier New">
    <w:charset w:val="a1"/>
    <w:family w:val="roman"/>
    <w:pitch w:val="variable"/>
  </w:font>
  <w:font w:name="Wingdings">
    <w:charset w:val="a1"/>
    <w:family w:val="roman"/>
    <w:pitch w:val="variable"/>
  </w:font>
  <w:font w:name="Tahoma">
    <w:charset w:val="a1"/>
    <w:family w:val="roman"/>
    <w:pitch w:val="variable"/>
  </w:font>
  <w:font w:name="OpenSymbol">
    <w:altName w:val="Arial Unicode MS"/>
    <w:charset w:val="a1"/>
    <w:family w:val="roman"/>
    <w:pitch w:val="variable"/>
  </w:font>
  <w:font w:name="Cambria">
    <w:charset w:val="a1"/>
    <w:family w:val="roman"/>
    <w:pitch w:val="variable"/>
  </w:font>
  <w:font w:name="Georgia">
    <w:charset w:val="a1"/>
    <w:family w:val="roman"/>
    <w:pitch w:val="variable"/>
  </w:font>
  <w:font w:name="Arial Unicode MS">
    <w:charset w:val="a1"/>
    <w:family w:val="roman"/>
    <w:pitch w:val="variable"/>
  </w:font>
  <w:font w:name="Trebuchet MS">
    <w:charset w:val="a1"/>
    <w:family w:val="roman"/>
    <w:pitch w:val="variable"/>
  </w:font>
  <w:font w:name="Arial Unicode MS Greek">
    <w:charset w:val="a1"/>
    <w:family w:val="roman"/>
    <w:pitch w:val="variable"/>
  </w:font>
  <w:font w:name="Cambria Math">
    <w:charset w:val="a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pBdr>
        <w:top w:val="single" w:sz="4" w:space="1" w:color="000000"/>
      </w:pBdr>
      <w:spacing w:before="0" w:after="0"/>
      <w:jc w:val="right"/>
      <w:rPr/>
    </w:pPr>
    <w:r>
      <w:rPr>
        <w:rFonts w:cs="Arial Unicode MS Greek" w:ascii="Arial Unicode MS Greek" w:hAnsi="Arial Unicode MS Greek"/>
        <w:sz w:val="20"/>
        <w:szCs w:val="20"/>
        <w:lang w:val="el-GR"/>
      </w:rPr>
      <w:t xml:space="preserve">Σελίδα </w:t>
    </w:r>
    <w:r>
      <w:rPr>
        <w:rFonts w:cs="Arial Unicode MS" w:ascii="Arial Unicode MS" w:hAnsi="Arial Unicode MS"/>
        <w:sz w:val="20"/>
        <w:szCs w:val="20"/>
      </w:rPr>
      <w:fldChar w:fldCharType="begin"/>
    </w:r>
    <w:r>
      <w:rPr>
        <w:sz w:val="20"/>
        <w:szCs w:val="20"/>
        <w:rFonts w:cs="Arial Unicode MS" w:ascii="Arial Unicode MS" w:hAnsi="Arial Unicode MS"/>
      </w:rPr>
      <w:instrText> PAGE </w:instrText>
    </w:r>
    <w:r>
      <w:rPr>
        <w:sz w:val="20"/>
        <w:szCs w:val="20"/>
        <w:rFonts w:cs="Arial Unicode MS" w:ascii="Arial Unicode MS" w:hAnsi="Arial Unicode MS"/>
      </w:rPr>
      <w:fldChar w:fldCharType="separate"/>
    </w:r>
    <w:r>
      <w:rPr>
        <w:sz w:val="20"/>
        <w:szCs w:val="20"/>
        <w:rFonts w:cs="Arial Unicode MS" w:ascii="Arial Unicode MS" w:hAnsi="Arial Unicode MS"/>
      </w:rPr>
      <w:t>12</w:t>
    </w:r>
    <w:r>
      <w:rPr>
        <w:sz w:val="20"/>
        <w:szCs w:val="20"/>
        <w:rFonts w:cs="Arial Unicode MS" w:ascii="Arial Unicode MS" w:hAnsi="Arial Unicode M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pBdr>
        <w:top w:val="single" w:sz="4" w:space="1" w:color="000000"/>
      </w:pBdr>
      <w:spacing w:before="0" w:after="0"/>
      <w:jc w:val="right"/>
      <w:rPr/>
    </w:pPr>
    <w:r>
      <w:rPr>
        <w:rFonts w:cs="Arial Unicode MS Greek" w:ascii="Arial Unicode MS Greek" w:hAnsi="Arial Unicode MS Greek"/>
        <w:sz w:val="20"/>
        <w:szCs w:val="20"/>
        <w:lang w:val="el-GR"/>
      </w:rPr>
      <w:t xml:space="preserve">Σελίδα </w:t>
    </w:r>
    <w:r>
      <w:rPr>
        <w:rFonts w:cs="Arial Unicode MS" w:ascii="Arial Unicode MS" w:hAnsi="Arial Unicode MS"/>
        <w:sz w:val="20"/>
        <w:szCs w:val="20"/>
      </w:rPr>
      <w:fldChar w:fldCharType="begin"/>
    </w:r>
    <w:r>
      <w:rPr>
        <w:sz w:val="20"/>
        <w:szCs w:val="20"/>
        <w:rFonts w:cs="Arial Unicode MS" w:ascii="Arial Unicode MS" w:hAnsi="Arial Unicode MS"/>
      </w:rPr>
      <w:instrText> PAGE </w:instrText>
    </w:r>
    <w:r>
      <w:rPr>
        <w:sz w:val="20"/>
        <w:szCs w:val="20"/>
        <w:rFonts w:cs="Arial Unicode MS" w:ascii="Arial Unicode MS" w:hAnsi="Arial Unicode MS"/>
      </w:rPr>
      <w:fldChar w:fldCharType="separate"/>
    </w:r>
    <w:r>
      <w:rPr>
        <w:sz w:val="20"/>
        <w:szCs w:val="20"/>
        <w:rFonts w:cs="Arial Unicode MS" w:ascii="Arial Unicode MS" w:hAnsi="Arial Unicode MS"/>
      </w:rPr>
      <w:t>1</w:t>
    </w:r>
    <w:r>
      <w:rPr>
        <w:sz w:val="20"/>
        <w:szCs w:val="20"/>
        <w:rFonts w:cs="Arial Unicode MS" w:ascii="Arial Unicode MS" w:hAnsi="Arial Unicode M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pBdr>
        <w:top w:val="single" w:sz="4" w:space="1" w:color="000000"/>
      </w:pBdr>
      <w:spacing w:before="0" w:after="0"/>
      <w:jc w:val="right"/>
      <w:rPr/>
    </w:pPr>
    <w:r>
      <w:rPr>
        <w:rFonts w:cs="Arial Unicode MS Greek" w:ascii="Arial Unicode MS Greek" w:hAnsi="Arial Unicode MS Greek"/>
        <w:sz w:val="20"/>
        <w:szCs w:val="20"/>
        <w:lang w:val="el-GR"/>
      </w:rPr>
      <w:t xml:space="preserve">Σελίδα </w:t>
    </w:r>
    <w:r>
      <w:rPr>
        <w:rFonts w:cs="Arial Unicode MS" w:ascii="Arial Unicode MS" w:hAnsi="Arial Unicode MS"/>
        <w:sz w:val="20"/>
        <w:szCs w:val="20"/>
      </w:rPr>
      <w:fldChar w:fldCharType="begin"/>
    </w:r>
    <w:r>
      <w:rPr>
        <w:sz w:val="20"/>
        <w:szCs w:val="20"/>
        <w:rFonts w:cs="Arial Unicode MS" w:ascii="Arial Unicode MS" w:hAnsi="Arial Unicode MS"/>
      </w:rPr>
      <w:instrText> PAGE </w:instrText>
    </w:r>
    <w:r>
      <w:rPr>
        <w:sz w:val="20"/>
        <w:szCs w:val="20"/>
        <w:rFonts w:cs="Arial Unicode MS" w:ascii="Arial Unicode MS" w:hAnsi="Arial Unicode MS"/>
      </w:rPr>
      <w:fldChar w:fldCharType="separate"/>
    </w:r>
    <w:r>
      <w:rPr>
        <w:sz w:val="20"/>
        <w:szCs w:val="20"/>
        <w:rFonts w:cs="Arial Unicode MS" w:ascii="Arial Unicode MS" w:hAnsi="Arial Unicode MS"/>
      </w:rPr>
      <w:t>78</w:t>
    </w:r>
    <w:r>
      <w:rPr>
        <w:sz w:val="20"/>
        <w:szCs w:val="20"/>
        <w:rFonts w:cs="Arial Unicode MS" w:ascii="Arial Unicode MS" w:hAnsi="Arial Unicode MS"/>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pBdr>
        <w:top w:val="single" w:sz="4" w:space="1" w:color="000000"/>
      </w:pBdr>
      <w:spacing w:before="0" w:after="0"/>
      <w:jc w:val="right"/>
      <w:rPr/>
    </w:pPr>
    <w:r>
      <w:rPr>
        <w:rFonts w:cs="Arial Unicode MS Greek" w:ascii="Arial Unicode MS Greek" w:hAnsi="Arial Unicode MS Greek"/>
        <w:sz w:val="20"/>
        <w:szCs w:val="20"/>
        <w:lang w:val="el-GR"/>
      </w:rPr>
      <w:t xml:space="preserve">Σελίδα </w:t>
    </w:r>
    <w:r>
      <w:rPr>
        <w:rFonts w:cs="Arial Unicode MS" w:ascii="Arial Unicode MS" w:hAnsi="Arial Unicode MS"/>
        <w:sz w:val="20"/>
        <w:szCs w:val="20"/>
      </w:rPr>
      <w:fldChar w:fldCharType="begin"/>
    </w:r>
    <w:r>
      <w:rPr>
        <w:sz w:val="20"/>
        <w:szCs w:val="20"/>
        <w:rFonts w:cs="Arial Unicode MS" w:ascii="Arial Unicode MS" w:hAnsi="Arial Unicode MS"/>
      </w:rPr>
      <w:instrText> PAGE </w:instrText>
    </w:r>
    <w:r>
      <w:rPr>
        <w:sz w:val="20"/>
        <w:szCs w:val="20"/>
        <w:rFonts w:cs="Arial Unicode MS" w:ascii="Arial Unicode MS" w:hAnsi="Arial Unicode MS"/>
      </w:rPr>
      <w:fldChar w:fldCharType="separate"/>
    </w:r>
    <w:r>
      <w:rPr>
        <w:sz w:val="20"/>
        <w:szCs w:val="20"/>
        <w:rFonts w:cs="Arial Unicode MS" w:ascii="Arial Unicode MS" w:hAnsi="Arial Unicode MS"/>
      </w:rPr>
      <w:t>85</w:t>
    </w:r>
    <w:r>
      <w:rPr>
        <w:sz w:val="20"/>
        <w:szCs w:val="20"/>
        <w:rFonts w:cs="Arial Unicode MS" w:ascii="Arial Unicode MS" w:hAnsi="Arial Unicode MS"/>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rFonts w:ascii="Tahoma" w:hAnsi="Tahoma" w:cs="Tahoma"/>
        <w:szCs w:val="22"/>
      </w:rPr>
    </w:pPr>
    <w:r>
      <w:rPr>
        <w:rFonts w:cs="Tahoma" w:ascii="Tahoma" w:hAnsi="Tahoma"/>
        <w:szCs w:val="22"/>
      </w:rPr>
    </w:r>
  </w:p>
  <w:p>
    <w:pPr>
      <w:pStyle w:val="Style23"/>
      <w:spacing w:before="0" w:after="100"/>
      <w:jc w:val="right"/>
      <w:rPr/>
    </w:pPr>
    <w:r>
      <w:rPr/>
      <w:fldChar w:fldCharType="begin"/>
    </w:r>
    <w:r>
      <w:rPr/>
      <w:instrText> PAGE </w:instrText>
    </w:r>
    <w:r>
      <w:rPr/>
      <w:fldChar w:fldCharType="separate"/>
    </w:r>
    <w:r>
      <w:rPr/>
      <w:t>88</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spacing w:before="0" w:after="100"/>
      <w:jc w:val="right"/>
      <w:rPr/>
    </w:pPr>
    <w:r>
      <w:rPr/>
      <w:fldChar w:fldCharType="begin"/>
    </w:r>
    <w:r>
      <w:rPr/>
      <w:instrText> PAGE </w:instrText>
    </w:r>
    <w:r>
      <w:rPr/>
      <w:fldChar w:fldCharType="separate"/>
    </w:r>
    <w:r>
      <w:rPr/>
      <w:t>105</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pBdr>
        <w:top w:val="single" w:sz="4" w:space="1" w:color="000000"/>
      </w:pBdr>
      <w:spacing w:before="0" w:after="0"/>
      <w:jc w:val="right"/>
      <w:rPr/>
    </w:pPr>
    <w:r>
      <w:rPr>
        <w:rFonts w:cs="Arial Unicode MS Greek" w:ascii="Arial Unicode MS Greek" w:hAnsi="Arial Unicode MS Greek"/>
        <w:sz w:val="20"/>
        <w:szCs w:val="20"/>
        <w:lang w:val="el-GR"/>
      </w:rPr>
      <w:t xml:space="preserve">Σελίδα </w:t>
    </w:r>
    <w:r>
      <w:rPr>
        <w:rFonts w:cs="Arial Unicode MS" w:ascii="Arial Unicode MS" w:hAnsi="Arial Unicode MS"/>
        <w:sz w:val="20"/>
        <w:szCs w:val="20"/>
      </w:rPr>
      <w:fldChar w:fldCharType="begin"/>
    </w:r>
    <w:r>
      <w:rPr>
        <w:sz w:val="20"/>
        <w:szCs w:val="20"/>
        <w:rFonts w:cs="Arial Unicode MS" w:ascii="Arial Unicode MS" w:hAnsi="Arial Unicode MS"/>
      </w:rPr>
      <w:instrText> PAGE </w:instrText>
    </w:r>
    <w:r>
      <w:rPr>
        <w:sz w:val="20"/>
        <w:szCs w:val="20"/>
        <w:rFonts w:cs="Arial Unicode MS" w:ascii="Arial Unicode MS" w:hAnsi="Arial Unicode MS"/>
      </w:rPr>
      <w:fldChar w:fldCharType="separate"/>
    </w:r>
    <w:r>
      <w:rPr>
        <w:sz w:val="20"/>
        <w:szCs w:val="20"/>
        <w:rFonts w:cs="Arial Unicode MS" w:ascii="Arial Unicode MS" w:hAnsi="Arial Unicode MS"/>
      </w:rPr>
      <w:t>133</w:t>
    </w:r>
    <w:r>
      <w:rPr>
        <w:sz w:val="20"/>
        <w:szCs w:val="20"/>
        <w:rFonts w:cs="Arial Unicode MS" w:ascii="Arial Unicode MS" w:hAnsi="Arial Unicode MS"/>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5"/>
        <w:ind w:left="0" w:right="0" w:hanging="425"/>
        <w:rPr/>
      </w:pPr>
      <w:r>
        <w:rPr>
          <w:rStyle w:val="Style8"/>
        </w:rPr>
        <w:footnoteRef/>
      </w:r>
      <w:r>
        <w:rPr>
          <w:lang w:val="el-GR"/>
        </w:rPr>
        <w:tab/>
        <w:t xml:space="preserve">Για δημόσιες συμβάσεις άνω των ορίων, ή για τις συμβάσεις κάτω των ορίων, εφόσον η αναθέτουσα αρχή το επιλέξει. Πρβλ. άρθρο 65, παρ.6, ν.4412/2016 </w:t>
      </w:r>
    </w:p>
  </w:footnote>
  <w:footnote w:id="3">
    <w:p>
      <w:pPr>
        <w:pStyle w:val="Style25"/>
        <w:ind w:left="0" w:right="0" w:hanging="425"/>
        <w:rPr/>
      </w:pPr>
      <w:r>
        <w:rPr>
          <w:rStyle w:val="Style8"/>
        </w:rPr>
        <w:footnoteRef/>
      </w:r>
      <w:r>
        <w:rPr>
          <w:lang w:val="el-GR"/>
        </w:rPr>
        <w:tab/>
        <w:t xml:space="preserve">Άρθρο 65 παρ. 1 του ν. 4412/2016 : Η προκήρυξη περιλαμβάνει τις πληροφορίες που προβλέπονται στο Παράρτημα </w:t>
      </w:r>
      <w:r>
        <w:rP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rPr/>
        <w:t>L</w:t>
      </w:r>
      <w:r>
        <w:rPr>
          <w:lang w:val="el-GR"/>
        </w:rPr>
        <w:t xml:space="preserve">296/1) </w:t>
      </w:r>
    </w:p>
  </w:footnote>
  <w:footnote w:id="4">
    <w:p>
      <w:pPr>
        <w:pStyle w:val="Style25"/>
        <w:ind w:left="0" w:right="0" w:hanging="425"/>
        <w:rPr>
          <w:lang w:val="el-GR"/>
        </w:rPr>
      </w:pPr>
      <w:r>
        <w:rPr>
          <w:rStyle w:val="Style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Πρβλ. άρθρο 66 του ν. 4412/2016. </w:t>
      </w:r>
    </w:p>
    <w:p>
      <w:pPr>
        <w:pStyle w:val="Style25"/>
        <w:ind w:left="0" w:right="0" w:hanging="425"/>
        <w:rPr/>
      </w:pPr>
      <w:r>
        <w:rPr/>
      </w:r>
    </w:p>
  </w:footnote>
  <w:footnote w:id="5">
    <w:p>
      <w:pPr>
        <w:pStyle w:val="Style25"/>
        <w:ind w:left="0" w:right="0" w:hanging="425"/>
        <w:rPr>
          <w:lang w:val="el-GR"/>
        </w:rPr>
      </w:pPr>
      <w:r>
        <w:rPr>
          <w:rStyle w:val="Style8"/>
        </w:rPr>
        <w:footnoteRef/>
      </w:r>
      <w:r>
        <w:rPr>
          <w:lang w:val="el-GR"/>
        </w:rPr>
        <w:tab/>
        <w:t xml:space="preserve">Από 01.06.2021 καταργήθηκε η υποχρέωση σύνταξης προκήρυξης για συμβάσεις κάτω των ορίων (Πρβλ άρθρο 141 του ν.4782/2021, παρ. 1 περ.4) </w:t>
      </w:r>
    </w:p>
    <w:p>
      <w:pPr>
        <w:pStyle w:val="Style25"/>
        <w:ind w:left="0" w:right="0" w:hanging="425"/>
        <w:rPr/>
      </w:pPr>
      <w:r>
        <w:rPr/>
      </w:r>
    </w:p>
  </w:footnote>
  <w:footnote w:id="6">
    <w:p>
      <w:pPr>
        <w:pStyle w:val="Style25"/>
        <w:ind w:left="0" w:right="0" w:hanging="425"/>
        <w:rPr>
          <w:lang w:val="el-GR"/>
        </w:rPr>
      </w:pPr>
      <w:r>
        <w:rPr>
          <w:rStyle w:val="Style8"/>
        </w:rPr>
        <w:footnoteRef/>
      </w:r>
      <w:r>
        <w:rPr>
          <w:lang w:val="el-GR"/>
        </w:rPr>
        <w:tab/>
        <w:t xml:space="preserve">Αν.4782/2021, παρ. 1 περ.4) 5 Η υποχρέωση δημοσίευσης της προκήρυξης σε μία τοπική εφημερίδα, που προβλέπεται στο άρθρο 4 του ΠΔ 118/2007, συνεχίζει να υφίσταται μέχρι και την 31/12/2023, οπότε και καταργείται, βλέπε άρθρο 377§1 περίπτ (59) και άρθρο 379 §12 ν. 4412/2016.  8 Πρβλ άρθρο 77 παρ. 5 ν. 4270/2014, άρθρα 1 παρ. 3 &amp; 4 παρ. 3 ν. 3548/2007, σε συνδυασμό με τα άρθρα 377 παρ. 1 περ. 35 &amp; 379 παρ. 12 ν. 4412/2016 </w:t>
      </w:r>
    </w:p>
    <w:p>
      <w:pPr>
        <w:pStyle w:val="Style25"/>
        <w:ind w:left="0" w:right="0" w:hanging="425"/>
        <w:rPr/>
      </w:pPr>
      <w:r>
        <w:rPr/>
      </w:r>
    </w:p>
  </w:footnote>
  <w:footnote w:id="7">
    <w:p>
      <w:pPr>
        <w:pStyle w:val="Style25"/>
        <w:ind w:left="0" w:right="0" w:hanging="425"/>
        <w:rPr>
          <w:lang w:val="el-GR"/>
        </w:rPr>
      </w:pPr>
      <w:r>
        <w:rPr>
          <w:rStyle w:val="Style8"/>
        </w:rPr>
        <w:footnoteRef/>
      </w:r>
      <w:r>
        <w:rPr>
          <w:lang w:val="el-GR"/>
        </w:rPr>
        <w:tab/>
        <w:t>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περίπτ (35) και άρθρο 379 §12 ν. 4412/2016.</w:t>
      </w:r>
    </w:p>
    <w:p>
      <w:pPr>
        <w:pStyle w:val="Style25"/>
        <w:ind w:left="0" w:right="0" w:hanging="425"/>
        <w:rPr/>
      </w:pPr>
      <w:r>
        <w:rPr/>
      </w:r>
    </w:p>
  </w:footnote>
  <w:footnote w:id="8">
    <w:p>
      <w:pPr>
        <w:pStyle w:val="Style25"/>
        <w:ind w:left="0" w:right="0" w:hanging="425"/>
        <w:rPr>
          <w:lang w:val="el-GR"/>
        </w:rPr>
      </w:pPr>
      <w:r>
        <w:rPr>
          <w:rStyle w:val="Style8"/>
        </w:rPr>
        <w:footnoteRef/>
      </w:r>
      <w:bookmarkStart w:id="351" w:name="__DdeLink__21690_4192549116"/>
      <w:r>
        <w:rPr>
          <w:lang w:val="el-GR"/>
        </w:rPr>
        <w:tab/>
        <w:t>Για τις δημοσιεύσεις περιλήψεων διαγωνισμών στον εθνικό τύπο, βλέπε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bookmarkEnd w:id="351"/>
    </w:p>
    <w:p>
      <w:pPr>
        <w:pStyle w:val="Style25"/>
        <w:ind w:left="0" w:right="0" w:hanging="425"/>
        <w:rPr/>
      </w:pPr>
      <w:r>
        <w:rPr/>
      </w:r>
    </w:p>
  </w:footnote>
  <w:footnote w:id="9">
    <w:p>
      <w:pPr>
        <w:pStyle w:val="Style25"/>
        <w:rPr/>
      </w:pPr>
      <w:r>
        <w:rPr>
          <w:rStyle w:val="Style8"/>
        </w:rPr>
        <w:footnoteRef/>
      </w:r>
      <w:r>
        <w:rPr>
          <w:lang w:val="el-GR"/>
        </w:rPr>
        <w:tab/>
        <w:t xml:space="preserve"> </w:t>
      </w:r>
      <w:r>
        <w:rPr>
          <w:lang w:val="el-GR"/>
        </w:rPr>
        <w:t>Πρβλ.άρθρο 26 ν. 5005/2022 (Α’ 236), ως τροποποίησε άρθρο 4 ν. 3548/2007 (Α’ 68) με την προσθήκη παρ. 4.</w:t>
      </w:r>
    </w:p>
  </w:footnote>
  <w:footnote w:id="10">
    <w:p>
      <w:pPr>
        <w:pStyle w:val="Style25"/>
        <w:ind w:left="0" w:right="0" w:hanging="0"/>
        <w:rPr/>
      </w:pPr>
      <w:r>
        <w:rPr>
          <w:rStyle w:val="Style8"/>
        </w:rPr>
        <w:footnoteRef/>
      </w:r>
      <w:r>
        <w:rPr>
          <w:lang w:val="el-GR"/>
        </w:rPr>
        <w:t xml:space="preserve">      </w:t>
      </w:r>
      <w:r>
        <w:rPr>
          <w:lang w:val="el-GR"/>
        </w:rPr>
        <w:t>Πρβλ έγγραφο ΕΑΔΗΣΥ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11">
    <w:p>
      <w:pPr>
        <w:pStyle w:val="Style25"/>
        <w:rPr/>
      </w:pPr>
      <w:r>
        <w:rPr>
          <w:rStyle w:val="Style8"/>
        </w:rPr>
        <w:footnoteRef/>
      </w:r>
      <w:r>
        <w:rPr>
          <w:lang w:val="el-GR"/>
        </w:rPr>
        <w:tab/>
        <w:t xml:space="preserve">       </w:t>
      </w:r>
      <w:r>
        <w:rPr>
          <w:lang w:val="el-GR"/>
        </w:rPr>
        <w:t xml:space="preserve">Πρβλ. άρθρο 80 παρ. 10 ν. 4412/2016 </w:t>
      </w:r>
    </w:p>
  </w:footnote>
  <w:footnote w:id="12">
    <w:p>
      <w:pPr>
        <w:pStyle w:val="Style25"/>
        <w:rPr/>
      </w:pPr>
      <w:r>
        <w:rPr>
          <w:rStyle w:val="Style8"/>
        </w:rPr>
        <w:footnoteRef/>
      </w:r>
      <w:r>
        <w:rPr>
          <w:szCs w:val="18"/>
          <w:lang w:val="el-GR"/>
        </w:rPr>
        <w:tab/>
        <w:t xml:space="preserve">Άρθρο 92, παρ.4 του ν. 4412/2016  </w:t>
      </w:r>
    </w:p>
  </w:footnote>
  <w:footnote w:id="13">
    <w:p>
      <w:pPr>
        <w:pStyle w:val="Style25"/>
        <w:rPr/>
      </w:pPr>
      <w:r>
        <w:rPr>
          <w:rStyle w:val="Style8"/>
        </w:rPr>
        <w:footnoteRef/>
      </w:r>
      <w:r>
        <w:rPr>
          <w:lang w:val="el-GR"/>
        </w:rPr>
        <w:tab/>
        <w:t>Με την επιφύλαξη της εν όλω ή εν μέρει σύνταξης των εγγράφων σε άλλη γλώσσα</w:t>
      </w:r>
    </w:p>
  </w:footnote>
  <w:footnote w:id="14">
    <w:p>
      <w:pPr>
        <w:pStyle w:val="Style25"/>
        <w:rPr/>
      </w:pPr>
      <w:r>
        <w:rPr>
          <w:rStyle w:val="Style8"/>
        </w:rPr>
        <w:footnoteRef/>
      </w:r>
      <w:r>
        <w:rPr>
          <w:lang w:val="el-GR"/>
        </w:rPr>
        <w:tab/>
        <w:t xml:space="preserve">        </w:t>
      </w:r>
      <w:r>
        <w:rPr>
          <w:lang w:val="el-GR"/>
        </w:rPr>
        <w:t>Παρ. 12 άρθρου 72 ν. 4412/2016</w:t>
      </w:r>
    </w:p>
  </w:footnote>
  <w:footnote w:id="15">
    <w:p>
      <w:pPr>
        <w:pStyle w:val="Style25"/>
        <w:ind w:left="0" w:right="0" w:hanging="0"/>
        <w:rPr/>
      </w:pPr>
      <w:r>
        <w:rPr>
          <w:rStyle w:val="Style8"/>
        </w:rPr>
        <w:footnoteRef/>
      </w:r>
      <w:r>
        <w:rPr>
          <w:rFonts w:eastAsia="Arial Unicode MS" w:cs="Arial Unicode MS" w:ascii="Arial Unicode MS" w:hAnsi="Arial Unicode MS"/>
          <w:lang w:val="el-GR"/>
        </w:rPr>
        <w:t xml:space="preserve"> </w:t>
      </w:r>
      <w:r>
        <w:rPr>
          <w:rFonts w:eastAsia="Arial Unicode MS" w:cs="Arial Unicode MS" w:ascii="Arial Unicode MS" w:hAnsi="Arial Unicode MS"/>
          <w:lang w:val="el-GR"/>
        </w:rPr>
        <w:t>Πρβ.άρθρο 72 παρ.1 του ν.4412/2016, όπως τροποποιήθηκε με την περ.4 του άρθρου 107 του ν.4497/2017 (Α΄171).)</w:t>
      </w:r>
      <w:r>
        <w:rPr>
          <w:rFonts w:eastAsia="Arial Unicode MS" w:cs="Arial Unicode MS" w:ascii="Arial Unicode MS" w:hAnsi="Arial Unicode MS"/>
          <w:color w:val="0070C0"/>
          <w:lang w:val="el-GR"/>
        </w:rPr>
        <w:t xml:space="preserve"> </w:t>
      </w:r>
      <w:r>
        <w:rPr>
          <w:rFonts w:eastAsia="Arial Unicode MS" w:cs="Arial Unicode MS" w:ascii="Arial Unicode MS" w:hAnsi="Arial Unicode MS"/>
          <w:lang w:val="el-GR"/>
        </w:rPr>
        <w:t>και την παρ.5 του αρθ.43 του ν.4605/19 (Α΄52).</w:t>
      </w:r>
    </w:p>
  </w:footnote>
  <w:footnote w:id="16">
    <w:p>
      <w:pPr>
        <w:pStyle w:val="Style25"/>
        <w:ind w:left="425" w:right="0" w:hanging="0"/>
        <w:rPr/>
      </w:pPr>
      <w:r>
        <w:rPr>
          <w:rStyle w:val="Style8"/>
        </w:rPr>
        <w:footnoteRef/>
      </w:r>
      <w:r>
        <w:rPr>
          <w:lang w:val="el-GR"/>
        </w:rPr>
        <w:t xml:space="preserve">  </w:t>
      </w:r>
      <w:r>
        <w:rPr>
          <w:lang w:val="el-GR"/>
        </w:rPr>
        <w:t>Πρβλ άρθρο 88 σε συνδυασμό με άρθρο 72 ν. 4412/2016</w:t>
      </w:r>
    </w:p>
  </w:footnote>
  <w:footnote w:id="17">
    <w:p>
      <w:pPr>
        <w:pStyle w:val="Style25"/>
        <w:ind w:left="0" w:right="0" w:hanging="0"/>
        <w:rPr/>
      </w:pPr>
      <w:r>
        <w:rPr>
          <w:rStyle w:val="Style8"/>
        </w:rPr>
        <w:footnoteRef/>
      </w:r>
      <w:r>
        <w:rPr>
          <w:rFonts w:eastAsia="Arial Unicode MS" w:cs="Arial Unicode MS" w:ascii="Arial Unicode MS" w:hAnsi="Arial Unicode MS"/>
          <w:lang w:val="el-GR"/>
        </w:rPr>
        <w:t xml:space="preserve">  </w:t>
      </w:r>
      <w:r>
        <w:rPr>
          <w:lang w:val="el-GR"/>
        </w:rPr>
        <w:t xml:space="preserve">Άρθρα 73 και 74 Ν.4412/2016 </w:t>
      </w:r>
    </w:p>
  </w:footnote>
  <w:footnote w:id="18">
    <w:p>
      <w:pPr>
        <w:pStyle w:val="Style25"/>
        <w:ind w:left="0" w:right="0" w:hanging="0"/>
        <w:rPr/>
      </w:pPr>
      <w:r>
        <w:rPr>
          <w:rStyle w:val="Style8"/>
        </w:rPr>
        <w:footnoteRef/>
      </w:r>
      <w:r>
        <w:rPr>
          <w:rFonts w:eastAsia="Arial Unicode MS"/>
          <w:szCs w:val="18"/>
          <w:lang w:val="el-GR"/>
        </w:rPr>
        <w:t xml:space="preserve"> </w:t>
      </w:r>
      <w:r>
        <w:rPr>
          <w:rFonts w:eastAsia="Arial Unicode MS"/>
          <w:szCs w:val="18"/>
          <w:lang w:val="el-GR"/>
        </w:rPr>
        <w:t>Πρβλ άρθρο 18 παρ.2 ν.4412/2016: «Κατά την εκτέλεση  των δημοσίων συμβάσεων ,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‘Ενωσης, το εθνικό δίκαιο, συλλογικές συμβάσεις ή διεθνείς διατάξεις περιβαλλοντικού, κοινωνικού και εργατικού δικαίου , οι οποίους απαριθμούνται  στο Παράρτημα Χ του Προσαρτήματος Α’.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τους».Πρβλ ακόμα και άρθρο 18 παρ.4 Ν.4412/16.</w:t>
      </w:r>
    </w:p>
  </w:footnote>
  <w:footnote w:id="19">
    <w:p>
      <w:pPr>
        <w:pStyle w:val="Style25"/>
        <w:tabs>
          <w:tab w:val="clear" w:pos="720"/>
          <w:tab w:val="left" w:pos="142" w:leader="none"/>
          <w:tab w:val="left" w:pos="284" w:leader="none"/>
          <w:tab w:val="left" w:pos="426" w:leader="none"/>
        </w:tabs>
        <w:ind w:left="0" w:right="0" w:hanging="0"/>
        <w:rPr/>
      </w:pPr>
      <w:r>
        <w:rPr>
          <w:rStyle w:val="Style8"/>
        </w:rPr>
        <w:footnoteRef/>
      </w:r>
      <w:r>
        <w:rPr>
          <w:szCs w:val="18"/>
          <w:lang w:val="el-GR"/>
        </w:rPr>
        <w:t xml:space="preserve">     </w:t>
      </w:r>
      <w:r>
        <w:rPr>
          <w:szCs w:val="18"/>
          <w:lang w:val="el-GR"/>
        </w:rPr>
        <w:t xml:space="preserve">Πρβλ περ. γ΄ της παρ. 2 του άρθρου 68 του ν. 3863/2010, ως αντικαταστάθηκε με το άρθρο 39  παρ.Β ν.4488/2017, σε συνδυασμό με την παρ. 5 του άρθρου 18 του ν. 4412/2016:  Η αθέτηση της υποχρέωσης της παραγράφου 2 του άρθρου 18 συνιστά σοβαρό επαγγελματικό παράπτωμα του οικονομικού φορέα κατά την έννοια της περίπτωσης θ΄ της παραγράφου 4 του άρθρου 73, κατά τα ειδικότερα οριζόμενα στις κείμενες διατάξεις. Ειδικά, κατά τη διαδικασία σύναψης </w:t>
      </w:r>
      <w:r>
        <w:rPr>
          <w:b/>
          <w:szCs w:val="18"/>
          <w:u w:val="single"/>
          <w:lang w:val="el-GR"/>
        </w:rPr>
        <w:t xml:space="preserve">δημόσιας σύμβασης παροχής υπηρεσιών καθαρισμού </w:t>
      </w:r>
      <w:r>
        <w:rPr>
          <w:szCs w:val="18"/>
          <w:lang w:val="el-GR"/>
        </w:rPr>
        <w:t>ή/και φύλαξης, ως σοβαρό επαγγελματικό παράπτωμα νοούνται ιδίως τα προβλεπόμενα στο δεύτερο εδάφιο της περίπτωσης γ΄ της παρ. 2 του άρθρου 68 του ν. 3863/2010 (Α΄ 115).</w:t>
      </w:r>
    </w:p>
  </w:footnote>
  <w:footnote w:id="20">
    <w:p>
      <w:pPr>
        <w:pStyle w:val="Style25"/>
        <w:rPr/>
      </w:pPr>
      <w:r>
        <w:rPr>
          <w:rStyle w:val="Style8"/>
        </w:rPr>
        <w:footnoteRef/>
      </w:r>
      <w:r>
        <w:rPr>
          <w:szCs w:val="18"/>
          <w:lang w:val="el-GR"/>
        </w:rPr>
        <w:tab/>
        <w:t xml:space="preserve"> </w:t>
      </w:r>
      <w:r>
        <w:rPr>
          <w:szCs w:val="18"/>
          <w:lang w:val="el-GR"/>
        </w:rPr>
        <w:t>Σχετική δήλωση του προσφέροντος οικονομικού φορέα περιλαμβάνεται στο ΕΕΕΣ.</w:t>
      </w:r>
    </w:p>
  </w:footnote>
  <w:footnote w:id="21">
    <w:p>
      <w:pPr>
        <w:pStyle w:val="Style25"/>
        <w:ind w:left="454" w:right="0" w:hanging="454"/>
        <w:rPr/>
      </w:pPr>
      <w:r>
        <w:rPr>
          <w:rStyle w:val="Style8"/>
        </w:rPr>
        <w:footnoteRef/>
      </w:r>
      <w:r>
        <w:rPr>
          <w:szCs w:val="18"/>
          <w:lang w:val="el-GR"/>
        </w:rPr>
        <w:tab/>
        <w:t xml:space="preserve">Πρβλ. παράγραφο 10 του άρθρου 73 ν.4412/2016. Επίσης,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 xml:space="preserve">-124/2017. </w:t>
      </w:r>
    </w:p>
  </w:footnote>
  <w:footnote w:id="22">
    <w:p>
      <w:pPr>
        <w:pStyle w:val="Style25"/>
        <w:rPr>
          <w:lang w:val="el-GR"/>
        </w:rPr>
      </w:pPr>
      <w:r>
        <w:rPr>
          <w:rStyle w:val="Style8"/>
        </w:rPr>
        <w:footnoteRef/>
      </w:r>
      <w:r>
        <w:rPr>
          <w:lang w:val="el-GR"/>
        </w:rPr>
        <w:tab/>
        <w:t xml:space="preserve">        </w:t>
      </w:r>
      <w:r>
        <w:rPr>
          <w:lang w:val="el-GR"/>
        </w:rPr>
        <w:t>Πρβλ. άρθρο 5 παρ. ια του Κανονισμού Κυρώσεων (ΕΕ) 833/2014</w:t>
      </w:r>
    </w:p>
    <w:p>
      <w:pPr>
        <w:pStyle w:val="Style25"/>
        <w:rPr/>
      </w:pPr>
      <w:r>
        <w:rPr/>
      </w:r>
    </w:p>
  </w:footnote>
  <w:footnote w:id="23">
    <w:p>
      <w:pPr>
        <w:pStyle w:val="Style25"/>
        <w:rPr/>
      </w:pPr>
      <w:r>
        <w:rPr>
          <w:rStyle w:val="Style8"/>
        </w:rPr>
        <w:footnoteRef/>
      </w:r>
      <w:r>
        <w:rPr>
          <w:lang w:val="el-GR"/>
        </w:rPr>
        <w:tab/>
        <w:t xml:space="preserve"> </w:t>
      </w:r>
      <w:r>
        <w:rPr>
          <w:lang w:val="el-GR"/>
        </w:rPr>
        <w:t>Σχετικά με την προσκόμιση αποδείξεων για τα επανορθωτικά μέτρα βλ. την απόφαση της 14ης Ιανουαρίου 2021 του ΔΕΕ στην υπόθεση C</w:t>
      </w:r>
      <w:r>
        <w:rPr>
          <w:rFonts w:cs="Cambria Math" w:ascii="Cambria Math" w:hAnsi="Cambria Math"/>
          <w:lang w:val="el-GR"/>
        </w:rPr>
        <w:noBreakHyphen/>
      </w:r>
      <w:r>
        <w:rPr>
          <w:lang w:val="el-GR"/>
        </w:rPr>
        <w:t>387/19</w:t>
      </w:r>
    </w:p>
  </w:footnote>
  <w:footnote w:id="24">
    <w:p>
      <w:pPr>
        <w:pStyle w:val="Style25"/>
        <w:rPr/>
      </w:pPr>
      <w:r>
        <w:rPr>
          <w:rStyle w:val="Style8"/>
        </w:rPr>
        <w:footnoteRef/>
      </w:r>
      <w:r>
        <w:rPr>
          <w:lang w:val="el-GR"/>
        </w:rPr>
        <w:tab/>
        <w:t xml:space="preserve">Παρ. 7 άρθρου 73 ν. 4412/2016.  </w:t>
      </w:r>
    </w:p>
  </w:footnote>
  <w:footnote w:id="25">
    <w:p>
      <w:pPr>
        <w:pStyle w:val="Style25"/>
        <w:rPr/>
      </w:pPr>
      <w:r>
        <w:rPr>
          <w:rStyle w:val="Style8"/>
        </w:rPr>
        <w:footnoteRef/>
      </w:r>
      <w:r>
        <w:rPr>
          <w:lang w:val="el-GR"/>
        </w:rPr>
        <w:tab/>
        <w:t xml:space="preserve"> </w:t>
      </w:r>
      <w:r>
        <w:rPr>
          <w:color w:val="000000"/>
          <w:lang w:val="el-GR"/>
        </w:rPr>
        <w:t xml:space="preserve">Πρβλ. απόφαση υπ’ αριθμ. </w:t>
      </w:r>
      <w:r>
        <w:rPr>
          <w:lang w:val="el-GR"/>
        </w:rPr>
        <w:t>49341/19-05-2020 (ΦΕΚ 385 τεύχος ΥΟΔΔ, 25-05-2020), η οποία εξακολουθεί να ισχύει έως την  έκδοση της απόφασης της παρ. 9 του άρθρου 73 του ν. 4412/2016.</w:t>
      </w:r>
    </w:p>
  </w:footnote>
  <w:footnote w:id="26">
    <w:p>
      <w:pPr>
        <w:pStyle w:val="Style25"/>
        <w:rPr/>
      </w:pPr>
      <w:r>
        <w:rPr>
          <w:rStyle w:val="Style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 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ΙΙ και IV παρ. 1 όπου παρατίθενται σχετικά  παραδείγματα.</w:t>
      </w:r>
    </w:p>
  </w:footnote>
  <w:footnote w:id="27">
    <w:p>
      <w:pPr>
        <w:pStyle w:val="Style25"/>
        <w:ind w:left="142" w:right="0" w:hanging="142"/>
        <w:rPr/>
      </w:pPr>
      <w:r>
        <w:rPr>
          <w:rStyle w:val="Style8"/>
        </w:rPr>
        <w:footnoteRef/>
      </w:r>
      <w:r>
        <w:rPr>
          <w:lang w:val="el-GR"/>
        </w:rPr>
        <w:tab/>
        <w:t xml:space="preserve"> </w:t>
      </w:r>
      <w:r>
        <w:rPr>
          <w:lang w:val="el-GR"/>
        </w:rPr>
        <w:t>Από τις 2-5-2019, παρέχεται η νέα ηλεκτρονική υπηρεσία </w:t>
      </w:r>
      <w:hyperlink r:id="rId1" w:tgtFrame="_blank">
        <w:r>
          <w:rPr>
            <w:rStyle w:val="Style7"/>
            <w:lang w:val="el-GR"/>
          </w:rPr>
          <w:t>Promitheus ESPDint </w:t>
        </w:r>
      </w:hyperlink>
      <w:r>
        <w:rPr>
          <w:lang w:val="el-GR"/>
        </w:rPr>
        <w:t>(</w:t>
      </w:r>
      <w:hyperlink r:id="rId2">
        <w:r>
          <w:rPr>
            <w:rStyle w:val="Style7"/>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r>
          <w:rPr>
            <w:rStyle w:val="Style7"/>
            <w:lang w:val="el-GR"/>
          </w:rPr>
          <w:t>www.promitheus.gov.gr</w:t>
        </w:r>
      </w:hyperlink>
      <w:r>
        <w:rPr>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r>
          <w:rPr>
            <w:rStyle w:val="Style7"/>
            <w:lang w:val="el-GR"/>
          </w:rPr>
          <w:t>https://eur-lex.europa.eu/legal-content/EL/TXT/HTML/?uri=CELEX:32016R0007R(01)&amp;from=EL</w:t>
        </w:r>
      </w:hyperlink>
    </w:p>
  </w:footnote>
  <w:footnote w:id="28">
    <w:p>
      <w:pPr>
        <w:pStyle w:val="WWCaption111111111"/>
        <w:tabs>
          <w:tab w:val="clear" w:pos="720"/>
          <w:tab w:val="left" w:pos="426" w:leader="none"/>
        </w:tabs>
        <w:spacing w:before="0" w:after="0"/>
        <w:rPr/>
      </w:pPr>
      <w:r>
        <w:rPr>
          <w:rStyle w:val="Style8"/>
        </w:rPr>
        <w:footnoteRef/>
      </w:r>
      <w:r>
        <w:rPr>
          <w:i w:val="false"/>
          <w:sz w:val="18"/>
          <w:szCs w:val="18"/>
          <w:lang w:val="el-GR"/>
        </w:rPr>
        <w:tab/>
        <w:t>Πρβλ. άρθρο 79Α παρ. 4 του ν. 4412/2016, όπως τροποποιήθηκε από το άρθρο 28 του ν. 4782/2021 (36 Α’).</w:t>
      </w:r>
    </w:p>
  </w:footnote>
  <w:footnote w:id="29">
    <w:p>
      <w:pPr>
        <w:pStyle w:val="Style25"/>
        <w:rPr/>
      </w:pPr>
      <w:r>
        <w:rPr>
          <w:rStyle w:val="Style8"/>
        </w:rPr>
        <w:footnoteRef/>
      </w:r>
      <w:r>
        <w:rPr>
          <w:szCs w:val="18"/>
          <w:lang w:val="el-GR"/>
        </w:rPr>
        <w:tab/>
        <w:t xml:space="preserve"> </w:t>
      </w:r>
      <w:r>
        <w:rPr>
          <w:szCs w:val="18"/>
          <w:lang w:val="el-GR"/>
        </w:rPr>
        <w:t>Πρβλ άρθρο 79 παρ. 9 του ν. 4412/2016, όπως τροποποιήθηκε με το άρθρο 27 του ν. 4782/2021</w:t>
      </w:r>
    </w:p>
  </w:footnote>
  <w:footnote w:id="30">
    <w:p>
      <w:pPr>
        <w:pStyle w:val="Style25"/>
        <w:rPr/>
      </w:pPr>
      <w:r>
        <w:rPr>
          <w:rStyle w:val="Style8"/>
        </w:rPr>
        <w:footnoteRef/>
      </w:r>
      <w:r>
        <w:rPr>
          <w:szCs w:val="18"/>
          <w:lang w:val="el-GR"/>
        </w:rPr>
        <w:tab/>
        <w:t xml:space="preserve">   </w:t>
      </w:r>
      <w:r>
        <w:rPr>
          <w:szCs w:val="18"/>
          <w:lang w:val="el-GR"/>
        </w:rPr>
        <w:t>Άρθρο 96 παρ. 7 του ν. 4412/2016</w:t>
      </w:r>
    </w:p>
  </w:footnote>
  <w:footnote w:id="31">
    <w:p>
      <w:pPr>
        <w:pStyle w:val="Style25"/>
        <w:rPr/>
      </w:pPr>
      <w:r>
        <w:rPr>
          <w:rStyle w:val="Style8"/>
        </w:rPr>
        <w:footnoteRef/>
      </w:r>
      <w:r>
        <w:rPr>
          <w:szCs w:val="18"/>
          <w:lang w:val="el-GR"/>
        </w:rPr>
        <w:tab/>
        <w:t xml:space="preserve"> </w:t>
      </w:r>
      <w:r>
        <w:rPr>
          <w:szCs w:val="18"/>
          <w:lang w:val="el-GR"/>
        </w:rPr>
        <w:t xml:space="preserve">βλ. Δ.Ε.Ε. απόφαση της 19.6.2019, </w:t>
      </w:r>
      <w:r>
        <w:rPr>
          <w:szCs w:val="18"/>
        </w:rPr>
        <w:t>Meca</w:t>
      </w:r>
      <w:r>
        <w:rPr>
          <w:szCs w:val="18"/>
          <w:lang w:val="el-GR"/>
        </w:rPr>
        <w:t xml:space="preserve">, </w:t>
      </w:r>
      <w:r>
        <w:rPr>
          <w:szCs w:val="18"/>
        </w:rPr>
        <w:t>C</w:t>
      </w:r>
      <w:r>
        <w:rPr>
          <w:szCs w:val="18"/>
          <w:lang w:val="el-GR"/>
        </w:rPr>
        <w:t xml:space="preserve">-41/18, </w:t>
      </w:r>
      <w:r>
        <w:rPr>
          <w:szCs w:val="18"/>
        </w:rPr>
        <w:t>EU</w:t>
      </w:r>
      <w:r>
        <w:rPr>
          <w:szCs w:val="18"/>
          <w:lang w:val="el-GR"/>
        </w:rPr>
        <w:t>:</w:t>
      </w:r>
      <w:r>
        <w:rPr>
          <w:szCs w:val="18"/>
        </w:rPr>
        <w:t>C</w:t>
      </w:r>
      <w:r>
        <w:rPr>
          <w:szCs w:val="18"/>
          <w:lang w:val="el-GR"/>
        </w:rPr>
        <w:t>:2019:507, σκ. 28</w:t>
      </w:r>
    </w:p>
  </w:footnote>
  <w:footnote w:id="32">
    <w:p>
      <w:pPr>
        <w:pStyle w:val="Style25"/>
        <w:rPr/>
      </w:pPr>
      <w:r>
        <w:rPr>
          <w:rStyle w:val="Style8"/>
        </w:rPr>
        <w:footnoteRef/>
      </w:r>
      <w:r>
        <w:rPr>
          <w:szCs w:val="18"/>
          <w:lang w:val="el-GR"/>
        </w:rPr>
        <w:tab/>
        <w:t xml:space="preserve"> </w:t>
      </w:r>
      <w:r>
        <w:rPr>
          <w:szCs w:val="18"/>
          <w:lang w:val="el-GR"/>
        </w:rPr>
        <w:t xml:space="preserve">Βλ. ενδεικτικά ΣτΕ 754/2020, 753/2020 (Δ Τμήμα), </w:t>
      </w:r>
    </w:p>
  </w:footnote>
  <w:footnote w:id="33">
    <w:p>
      <w:pPr>
        <w:pStyle w:val="Style25"/>
        <w:rPr/>
      </w:pPr>
      <w:r>
        <w:rPr>
          <w:rStyle w:val="Style8"/>
        </w:rPr>
        <w:footnoteRef/>
      </w:r>
      <w:r>
        <w:rPr>
          <w:szCs w:val="18"/>
          <w:lang w:val="el-GR"/>
        </w:rPr>
        <w:tab/>
        <w:t xml:space="preserve"> </w:t>
      </w:r>
      <w:r>
        <w:rPr>
          <w:szCs w:val="18"/>
          <w:lang w:val="el-GR"/>
        </w:rPr>
        <w:t>Παρ. 1 του άρθρου 79 του ν. 4412/2016, όπως τροποποιήθηκε με την παρ. 5 του άρθρου 235 του ν. 4635/2019.</w:t>
      </w:r>
    </w:p>
  </w:footnote>
  <w:footnote w:id="34">
    <w:p>
      <w:pPr>
        <w:pStyle w:val="Style25"/>
        <w:rPr/>
      </w:pPr>
      <w:r>
        <w:rPr>
          <w:rStyle w:val="Style8"/>
        </w:rPr>
        <w:footnoteRef/>
      </w:r>
      <w:r>
        <w:rPr>
          <w:szCs w:val="18"/>
          <w:lang w:val="el-GR"/>
        </w:rPr>
        <w:tab/>
        <w:t xml:space="preserve">  </w:t>
      </w:r>
      <w:r>
        <w:rPr>
          <w:szCs w:val="18"/>
          <w:lang w:val="el-GR"/>
        </w:rPr>
        <w:t>Παρ. 2Α άρθρου 73 σε συνδυασμό με την παρ. 8 του άρθρου 79 του ν. 4412/2016</w:t>
      </w:r>
    </w:p>
  </w:footnote>
  <w:footnote w:id="35">
    <w:p>
      <w:pPr>
        <w:pStyle w:val="Style25"/>
        <w:tabs>
          <w:tab w:val="clear" w:pos="720"/>
          <w:tab w:val="left" w:pos="142" w:leader="none"/>
          <w:tab w:val="left" w:pos="284" w:leader="none"/>
          <w:tab w:val="left" w:pos="426" w:leader="none"/>
        </w:tabs>
        <w:ind w:left="0" w:right="0" w:hanging="0"/>
        <w:rPr/>
      </w:pPr>
      <w:r>
        <w:rPr>
          <w:rStyle w:val="Style8"/>
        </w:rPr>
        <w:footnoteRef/>
      </w:r>
      <w:r>
        <w:rPr>
          <w:szCs w:val="18"/>
          <w:lang w:val="el-GR"/>
        </w:rPr>
        <w:tab/>
        <w:t>Πρβλ άρθρο 79 παρ. 6 ν. 4412/2016.</w:t>
      </w:r>
    </w:p>
  </w:footnote>
  <w:footnote w:id="36">
    <w:p>
      <w:pPr>
        <w:pStyle w:val="Style25"/>
        <w:ind w:left="0" w:right="0" w:hanging="0"/>
        <w:rPr>
          <w:rFonts w:eastAsia="Arial Unicode MS"/>
          <w:sz w:val="16"/>
          <w:szCs w:val="16"/>
          <w:lang w:val="el-GR"/>
        </w:rPr>
      </w:pPr>
      <w:r>
        <w:rPr>
          <w:rStyle w:val="Style8"/>
        </w:rPr>
        <w:footnoteRef/>
      </w:r>
      <w:r>
        <w:rPr>
          <w:rFonts w:eastAsia="Arial Unicode MS"/>
          <w:sz w:val="16"/>
          <w:szCs w:val="16"/>
          <w:lang w:val="el-GR"/>
        </w:rPr>
        <w:t xml:space="preserve"> </w:t>
      </w:r>
      <w:r>
        <w:rPr>
          <w:rFonts w:eastAsia="Arial Unicode MS"/>
          <w:sz w:val="16"/>
          <w:szCs w:val="16"/>
          <w:lang w:val="el-GR"/>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pPr>
        <w:pStyle w:val="Style25"/>
        <w:numPr>
          <w:ilvl w:val="0"/>
          <w:numId w:val="2"/>
        </w:numPr>
        <w:rPr>
          <w:rFonts w:eastAsia="Arial Unicode MS"/>
          <w:sz w:val="16"/>
          <w:szCs w:val="16"/>
          <w:lang w:val="el-GR"/>
        </w:rPr>
      </w:pPr>
      <w:r>
        <w:rPr>
          <w:rFonts w:eastAsia="Arial Unicode MS"/>
          <w:sz w:val="16"/>
          <w:szCs w:val="16"/>
          <w:lang w:val="el-GR"/>
        </w:rPr>
        <w:t>Απλά αντίγραφα δημοσίων συμβάσεων: 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pPr>
        <w:pStyle w:val="Style25"/>
        <w:numPr>
          <w:ilvl w:val="0"/>
          <w:numId w:val="2"/>
        </w:numPr>
        <w:rPr/>
      </w:pPr>
      <w:r>
        <w:rPr>
          <w:rFonts w:eastAsia="Arial Unicode MS"/>
          <w:sz w:val="16"/>
          <w:szCs w:val="16"/>
          <w:lang w:val="el-GR"/>
        </w:rPr>
        <w:t>Απλά αντίγραφα αλλοδαπών δημοσίων εγγράφων: Επίσης, γίνονται αποδεκτά ευκρινή φωτοαντίγραφα από αντίγραφα εγγράφων τα οποία έχουν επικυρωθεί από δικηγόρο, σύμφωνα με τα οριζόμενα στο αρ.36 παρ.2β)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Pr>
          <w:rFonts w:eastAsia="Arial Unicode MS"/>
          <w:sz w:val="16"/>
          <w:szCs w:val="16"/>
          <w:lang w:val="en-US"/>
        </w:rPr>
        <w:t>APOSTILLE</w:t>
      </w:r>
      <w:r>
        <w:rPr>
          <w:rFonts w:eastAsia="Arial Unicode MS"/>
          <w:sz w:val="16"/>
          <w:szCs w:val="16"/>
          <w:lang w:val="el-GR"/>
        </w:rPr>
        <w:t>), οι οποίες απορρέουν από διεθνείς συμβάσεις της χώρας (Σύμβαση της Χάγης) ή άλλες διακρατικές συμφωνίες (βλ.και σημείο 3.2).</w:t>
      </w:r>
    </w:p>
    <w:p>
      <w:pPr>
        <w:pStyle w:val="Style25"/>
        <w:numPr>
          <w:ilvl w:val="0"/>
          <w:numId w:val="2"/>
        </w:numPr>
        <w:rPr>
          <w:rFonts w:eastAsia="Arial Unicode MS"/>
          <w:sz w:val="16"/>
          <w:szCs w:val="16"/>
          <w:lang w:val="el-GR"/>
        </w:rPr>
      </w:pPr>
      <w:r>
        <w:rPr>
          <w:rFonts w:eastAsia="Arial Unicode MS"/>
          <w:sz w:val="16"/>
          <w:szCs w:val="16"/>
          <w:lang w:val="el-GR"/>
        </w:rPr>
        <w:t>Απλά αντίγραφα ιδιωτικών εγγράφων:  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αρ.36 παρ.2β)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παρ.2 του αρ.1 του νόμου 4250/2014.</w:t>
      </w:r>
    </w:p>
    <w:p>
      <w:pPr>
        <w:pStyle w:val="Style25"/>
        <w:numPr>
          <w:ilvl w:val="0"/>
          <w:numId w:val="2"/>
        </w:numPr>
        <w:rPr/>
      </w:pPr>
      <w:r>
        <w:rPr>
          <w:rFonts w:eastAsia="Arial Unicode MS"/>
          <w:sz w:val="16"/>
          <w:szCs w:val="16"/>
          <w:lang w:val="el-GR"/>
        </w:rPr>
        <w:t>Πρωτότυπα έγγραφα και επικυρωμένα φωτοαντίγραφα:  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37">
    <w:p>
      <w:pPr>
        <w:pStyle w:val="Style25"/>
        <w:tabs>
          <w:tab w:val="clear" w:pos="720"/>
          <w:tab w:val="left" w:pos="142" w:leader="none"/>
          <w:tab w:val="left" w:pos="284" w:leader="none"/>
          <w:tab w:val="left" w:pos="426" w:leader="none"/>
        </w:tabs>
        <w:ind w:left="0" w:right="0" w:hanging="0"/>
        <w:jc w:val="left"/>
        <w:rPr/>
      </w:pPr>
      <w:r>
        <w:rPr>
          <w:rStyle w:val="Style8"/>
        </w:rPr>
        <w:footnoteRef/>
      </w:r>
      <w:r>
        <w:rPr>
          <w:sz w:val="16"/>
          <w:szCs w:val="16"/>
          <w:lang w:val="el-GR"/>
        </w:rPr>
        <w:t xml:space="preserve"> </w:t>
      </w:r>
      <w:r>
        <w:rPr>
          <w:sz w:val="16"/>
          <w:szCs w:val="16"/>
          <w:lang w:val="el-GR"/>
        </w:rPr>
        <w:tab/>
        <w:t>Πρβλ. παρ. 12 άρθρου 80 του ν.4412/2016.</w:t>
      </w:r>
    </w:p>
  </w:footnote>
  <w:footnote w:id="38">
    <w:p>
      <w:pPr>
        <w:pStyle w:val="Style25"/>
        <w:tabs>
          <w:tab w:val="clear" w:pos="720"/>
          <w:tab w:val="left" w:pos="142" w:leader="none"/>
          <w:tab w:val="left" w:pos="284" w:leader="none"/>
          <w:tab w:val="left" w:pos="426" w:leader="none"/>
        </w:tabs>
        <w:ind w:left="0" w:right="0" w:hanging="0"/>
        <w:jc w:val="left"/>
        <w:rPr/>
      </w:pPr>
      <w:r>
        <w:rPr>
          <w:rStyle w:val="Style8"/>
        </w:rPr>
        <w:footnoteRef/>
      </w:r>
      <w:r>
        <w:rPr>
          <w:sz w:val="16"/>
          <w:szCs w:val="16"/>
          <w:lang w:val="el-GR"/>
        </w:rPr>
        <w:t xml:space="preserve">     </w:t>
      </w:r>
      <w:r>
        <w:rPr>
          <w:color w:val="000000"/>
          <w:sz w:val="16"/>
          <w:szCs w:val="16"/>
          <w:lang w:val="el-GR"/>
        </w:rPr>
        <w:t>Πρβλ. παρ. 12 άρθρου 80 του ν.4412/2016</w:t>
      </w:r>
    </w:p>
  </w:footnote>
  <w:footnote w:id="39">
    <w:p>
      <w:pPr>
        <w:pStyle w:val="Style25"/>
        <w:tabs>
          <w:tab w:val="clear" w:pos="720"/>
          <w:tab w:val="left" w:pos="142" w:leader="none"/>
          <w:tab w:val="left" w:pos="284" w:leader="none"/>
          <w:tab w:val="left" w:pos="426" w:leader="none"/>
        </w:tabs>
        <w:ind w:left="0" w:right="0" w:hanging="0"/>
        <w:jc w:val="left"/>
        <w:rPr/>
      </w:pPr>
      <w:r>
        <w:rPr>
          <w:rStyle w:val="Style8"/>
        </w:rPr>
        <w:footnoteRef/>
      </w:r>
      <w:r>
        <w:rPr>
          <w:szCs w:val="18"/>
          <w:lang w:val="el-GR"/>
        </w:rPr>
        <w:t xml:space="preserve">   </w:t>
      </w:r>
      <w:r>
        <w:rPr>
          <w:szCs w:val="18"/>
          <w:lang w:val="el-GR"/>
        </w:rPr>
        <w:tab/>
        <w:t>Εφόσον η αναθέτουσα αρχή την επιλέξει ως λόγο αποκλεισμού</w:t>
      </w:r>
    </w:p>
  </w:footnote>
  <w:footnote w:id="40">
    <w:p>
      <w:pPr>
        <w:pStyle w:val="Style25"/>
        <w:tabs>
          <w:tab w:val="clear" w:pos="720"/>
          <w:tab w:val="left" w:pos="142" w:leader="none"/>
          <w:tab w:val="left" w:pos="284" w:leader="none"/>
          <w:tab w:val="left" w:pos="426" w:leader="none"/>
        </w:tabs>
        <w:ind w:left="0" w:right="0" w:hanging="0"/>
        <w:rPr/>
      </w:pPr>
      <w:r>
        <w:rPr>
          <w:rStyle w:val="Style8"/>
        </w:rPr>
        <w:footnoteRef/>
      </w:r>
      <w:r>
        <w:rPr>
          <w:szCs w:val="18"/>
          <w:lang w:val="el-GR"/>
        </w:rPr>
        <w:t xml:space="preserve">   </w:t>
      </w:r>
      <w:r>
        <w:rPr>
          <w:szCs w:val="18"/>
          <w:lang w:val="el-GR"/>
        </w:rPr>
        <w:tab/>
        <w:t xml:space="preserve">Δεύτερο εδάφιο παρ. 4 του άρθρου 74 του ν. 4412/2016 </w:t>
      </w:r>
    </w:p>
  </w:footnote>
  <w:footnote w:id="41">
    <w:p>
      <w:pPr>
        <w:pStyle w:val="Style25"/>
        <w:tabs>
          <w:tab w:val="clear" w:pos="720"/>
          <w:tab w:val="left" w:pos="142" w:leader="none"/>
          <w:tab w:val="left" w:pos="284" w:leader="none"/>
          <w:tab w:val="left" w:pos="426" w:leader="none"/>
        </w:tabs>
        <w:ind w:left="0" w:right="0" w:hanging="0"/>
        <w:rPr/>
      </w:pPr>
      <w:r>
        <w:rPr>
          <w:rStyle w:val="Style8"/>
        </w:rPr>
        <w:footnoteRef/>
      </w:r>
      <w:r>
        <w:rPr>
          <w:szCs w:val="18"/>
          <w:lang w:val="el-GR"/>
        </w:rPr>
        <w:t xml:space="preserve">  </w:t>
      </w:r>
      <w:r>
        <w:rPr>
          <w:szCs w:val="18"/>
          <w:lang w:val="el-GR"/>
        </w:rPr>
        <w:tab/>
        <w:t xml:space="preserve">Πρβλ. άρθρο 8 ν. 3310/2005 και π.δ. 82/1996.  </w:t>
      </w:r>
    </w:p>
  </w:footnote>
  <w:footnote w:id="42">
    <w:p>
      <w:pPr>
        <w:pStyle w:val="Style25"/>
        <w:tabs>
          <w:tab w:val="clear" w:pos="720"/>
          <w:tab w:val="left" w:pos="142" w:leader="none"/>
          <w:tab w:val="left" w:pos="284" w:leader="none"/>
          <w:tab w:val="left" w:pos="426" w:leader="none"/>
        </w:tabs>
        <w:ind w:left="0" w:right="0" w:hanging="0"/>
        <w:rPr/>
      </w:pPr>
      <w:r>
        <w:rPr>
          <w:rStyle w:val="Style8"/>
        </w:rPr>
        <w:footnoteRef/>
      </w:r>
      <w:r>
        <w:rPr>
          <w:rFonts w:cs="Tahoma" w:ascii="Tahoma" w:hAnsi="Tahoma"/>
          <w:szCs w:val="18"/>
          <w:lang w:val="el-GR"/>
        </w:rPr>
        <w:tab/>
        <w:t xml:space="preserve">Πρβλ. Παράρτημα </w:t>
      </w:r>
      <w:r>
        <w:rPr>
          <w:rFonts w:cs="Tahoma" w:ascii="Tahoma" w:hAnsi="Tahoma"/>
          <w:szCs w:val="18"/>
        </w:rPr>
        <w:t>XI</w:t>
      </w:r>
      <w:r>
        <w:rPr>
          <w:rFonts w:cs="Tahoma" w:ascii="Tahoma" w:hAnsi="Tahoma"/>
          <w:szCs w:val="18"/>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43">
    <w:p>
      <w:pPr>
        <w:pStyle w:val="Style25"/>
        <w:tabs>
          <w:tab w:val="clear" w:pos="720"/>
          <w:tab w:val="left" w:pos="142" w:leader="none"/>
          <w:tab w:val="left" w:pos="284" w:leader="none"/>
          <w:tab w:val="left" w:pos="426" w:leader="none"/>
        </w:tabs>
        <w:ind w:left="0" w:right="0" w:hanging="0"/>
        <w:rPr/>
      </w:pPr>
      <w:r>
        <w:rPr>
          <w:rStyle w:val="Style8"/>
        </w:rPr>
        <w:footnoteRef/>
      </w:r>
      <w:r>
        <w:rPr>
          <w:rFonts w:eastAsia="Arial Unicode MS" w:cs="Tahoma" w:ascii="Tahoma" w:hAnsi="Tahoma"/>
          <w:szCs w:val="18"/>
          <w:lang w:val="el-GR"/>
        </w:rPr>
        <w:t xml:space="preserve"> </w:t>
      </w:r>
      <w:r>
        <w:rPr>
          <w:rFonts w:eastAsia="Arial Unicode MS" w:cs="Tahoma" w:ascii="Tahoma" w:hAnsi="Tahoma"/>
          <w:szCs w:val="18"/>
          <w:lang w:val="el-GR"/>
        </w:rPr>
        <w:t>Πρβλ. παράγραφο 12 άρθρου 80 του ν.4412/2016, όπως αυτή προστέθηκε με το άρθρο 43 παρ. 7 α σημείο αδ’ του ν. 4605/2019.</w:t>
      </w:r>
    </w:p>
  </w:footnote>
  <w:footnote w:id="44">
    <w:p>
      <w:pPr>
        <w:pStyle w:val="Style25"/>
        <w:tabs>
          <w:tab w:val="clear" w:pos="720"/>
          <w:tab w:val="left" w:pos="142" w:leader="none"/>
          <w:tab w:val="left" w:pos="284" w:leader="none"/>
          <w:tab w:val="left" w:pos="426" w:leader="none"/>
        </w:tabs>
        <w:ind w:left="0" w:right="0" w:hanging="0"/>
        <w:rPr/>
      </w:pPr>
      <w:r>
        <w:rPr>
          <w:rStyle w:val="Style8"/>
        </w:rPr>
        <w:footnoteRef/>
      </w:r>
      <w:r>
        <w:rPr>
          <w:szCs w:val="18"/>
          <w:lang w:val="el-GR"/>
        </w:rPr>
        <w:tab/>
        <w:t xml:space="preserve">Πρβλ. παράγραφο 12 άρθρου 80 του ν.4412/2016 </w:t>
      </w:r>
    </w:p>
  </w:footnote>
  <w:footnote w:id="45">
    <w:p>
      <w:pPr>
        <w:pStyle w:val="Style25"/>
        <w:tabs>
          <w:tab w:val="clear" w:pos="720"/>
          <w:tab w:val="left" w:pos="142" w:leader="none"/>
          <w:tab w:val="left" w:pos="284" w:leader="none"/>
          <w:tab w:val="left" w:pos="426" w:leader="none"/>
        </w:tabs>
        <w:ind w:left="0" w:right="0" w:hanging="0"/>
        <w:rPr/>
      </w:pPr>
      <w:r>
        <w:rPr>
          <w:rStyle w:val="Style8"/>
        </w:rPr>
        <w:footnoteRef/>
      </w:r>
      <w:r>
        <w:rPr>
          <w:rStyle w:val="Style11"/>
          <w:szCs w:val="18"/>
          <w:lang w:val="el-GR"/>
        </w:rPr>
        <w:t xml:space="preserve"> </w:t>
      </w:r>
      <w:r>
        <w:rPr>
          <w:szCs w:val="18"/>
          <w:lang w:val="el-GR"/>
        </w:rPr>
        <w:t>Σύμφωνα με το άρθρο 86 ν. 4635/2019 στο ΓΕΜΗ εγγράφονται υποχρεωτικά :</w:t>
      </w:r>
    </w:p>
    <w:p>
      <w:pPr>
        <w:pStyle w:val="Style25"/>
        <w:tabs>
          <w:tab w:val="clear" w:pos="720"/>
          <w:tab w:val="left" w:pos="142" w:leader="none"/>
          <w:tab w:val="left" w:pos="284" w:leader="none"/>
          <w:tab w:val="left" w:pos="426" w:leader="none"/>
        </w:tabs>
        <w:ind w:left="0" w:right="0" w:hanging="0"/>
        <w:rPr>
          <w:szCs w:val="18"/>
          <w:lang w:val="el-GR"/>
        </w:rPr>
      </w:pPr>
      <w:r>
        <w:rPr>
          <w:szCs w:val="18"/>
          <w:lang w:val="el-GR"/>
        </w:rPr>
        <w:t>α. η Ανώνυμη Εταιρεία που προβλέπεται στον ν. 4548/2018 (Α` 104),</w:t>
      </w:r>
    </w:p>
    <w:p>
      <w:pPr>
        <w:pStyle w:val="Style25"/>
        <w:tabs>
          <w:tab w:val="clear" w:pos="720"/>
          <w:tab w:val="left" w:pos="142" w:leader="none"/>
          <w:tab w:val="left" w:pos="284" w:leader="none"/>
          <w:tab w:val="left" w:pos="426" w:leader="none"/>
        </w:tabs>
        <w:ind w:left="0" w:right="0" w:hanging="0"/>
        <w:rPr>
          <w:szCs w:val="18"/>
          <w:lang w:val="el-GR"/>
        </w:rPr>
      </w:pPr>
      <w:r>
        <w:rPr>
          <w:szCs w:val="18"/>
          <w:lang w:val="el-GR"/>
        </w:rPr>
        <w:t>β. η Εταιρεία Περιορισμένης Ευθύνης που προβλέπεται στον ν. 3190/1955 (Α` 91),</w:t>
      </w:r>
    </w:p>
    <w:p>
      <w:pPr>
        <w:pStyle w:val="Style25"/>
        <w:tabs>
          <w:tab w:val="clear" w:pos="720"/>
          <w:tab w:val="left" w:pos="142" w:leader="none"/>
          <w:tab w:val="left" w:pos="284" w:leader="none"/>
          <w:tab w:val="left" w:pos="426" w:leader="none"/>
        </w:tabs>
        <w:ind w:left="0" w:right="0" w:hanging="0"/>
        <w:rPr>
          <w:szCs w:val="18"/>
          <w:lang w:val="el-GR"/>
        </w:rPr>
      </w:pPr>
      <w:r>
        <w:rPr>
          <w:szCs w:val="18"/>
          <w:lang w:val="el-GR"/>
        </w:rPr>
        <w:t>γ. η Ιδιωτική Κεφαλαιουχική Εταιρεία που προβλέπεται στον ν. 4072/2012 (Α` 86),</w:t>
      </w:r>
    </w:p>
    <w:p>
      <w:pPr>
        <w:pStyle w:val="Style25"/>
        <w:tabs>
          <w:tab w:val="clear" w:pos="720"/>
          <w:tab w:val="left" w:pos="142" w:leader="none"/>
          <w:tab w:val="left" w:pos="284" w:leader="none"/>
          <w:tab w:val="left" w:pos="426" w:leader="none"/>
        </w:tabs>
        <w:ind w:left="0" w:right="0" w:hanging="0"/>
        <w:rPr>
          <w:szCs w:val="18"/>
          <w:lang w:val="el-GR"/>
        </w:rPr>
      </w:pPr>
      <w:r>
        <w:rPr>
          <w:szCs w:val="18"/>
          <w:lang w:val="el-GR"/>
        </w:rPr>
        <w:t>δ. η Ομόρρυθμη και Ετερόρρυθμη (απλή ή κατά μετοχές) Εταιρεία που προβλέπονται στον ν. 4072/2012 (Α` 86), καθώς και οι ομόρρυθμοι εταίροι αυτών,</w:t>
      </w:r>
    </w:p>
    <w:p>
      <w:pPr>
        <w:pStyle w:val="Style25"/>
        <w:tabs>
          <w:tab w:val="clear" w:pos="720"/>
          <w:tab w:val="left" w:pos="142" w:leader="none"/>
          <w:tab w:val="left" w:pos="284" w:leader="none"/>
          <w:tab w:val="left" w:pos="426" w:leader="none"/>
        </w:tabs>
        <w:ind w:left="0" w:right="0" w:hanging="0"/>
        <w:rPr>
          <w:szCs w:val="18"/>
          <w:lang w:val="el-GR"/>
        </w:rPr>
      </w:pPr>
      <w:r>
        <w:rPr>
          <w:szCs w:val="18"/>
          <w:lang w:val="el-GR"/>
        </w:rPr>
        <w:t>ε. ο Αστικός Συνεταιρισμός του ν. 1667/1986 (Α` 196) (στον οποίο περιλαμβάνονται ο αλληλασφαλιστικός, ο πιστωτικός και ο οικοδομικός συνεταιρισμός),</w:t>
      </w:r>
    </w:p>
    <w:p>
      <w:pPr>
        <w:pStyle w:val="Style25"/>
        <w:tabs>
          <w:tab w:val="clear" w:pos="720"/>
          <w:tab w:val="left" w:pos="142" w:leader="none"/>
          <w:tab w:val="left" w:pos="284" w:leader="none"/>
          <w:tab w:val="left" w:pos="426" w:leader="none"/>
        </w:tabs>
        <w:ind w:left="0" w:right="0" w:hanging="0"/>
        <w:rPr>
          <w:szCs w:val="18"/>
          <w:lang w:val="el-GR"/>
        </w:rPr>
      </w:pPr>
      <w:r>
        <w:rPr>
          <w:szCs w:val="18"/>
          <w:lang w:val="el-GR"/>
        </w:rPr>
        <w:t>στ. η Κοιν.Σ.ΕΠ. που συστήνεται κατά τον ν. 4430/2016 (Α` 205) και</w:t>
      </w:r>
    </w:p>
    <w:p>
      <w:pPr>
        <w:pStyle w:val="Style25"/>
        <w:tabs>
          <w:tab w:val="clear" w:pos="720"/>
          <w:tab w:val="left" w:pos="142" w:leader="none"/>
          <w:tab w:val="left" w:pos="284" w:leader="none"/>
          <w:tab w:val="left" w:pos="426" w:leader="none"/>
        </w:tabs>
        <w:ind w:left="0" w:right="0" w:hanging="0"/>
        <w:rPr>
          <w:szCs w:val="18"/>
          <w:lang w:val="el-GR"/>
        </w:rPr>
      </w:pPr>
      <w:r>
        <w:rPr>
          <w:szCs w:val="18"/>
          <w:lang w:val="el-GR"/>
        </w:rPr>
        <w:t>ζ. η Κοι.Σ.Π.Ε. που συστήνεται κατά τον ν. 2716/1999 (Α` 96),</w:t>
      </w:r>
    </w:p>
    <w:p>
      <w:pPr>
        <w:pStyle w:val="Style25"/>
        <w:tabs>
          <w:tab w:val="clear" w:pos="720"/>
          <w:tab w:val="left" w:pos="142" w:leader="none"/>
          <w:tab w:val="left" w:pos="284" w:leader="none"/>
          <w:tab w:val="left" w:pos="426" w:leader="none"/>
        </w:tabs>
        <w:ind w:left="0" w:right="0" w:hanging="0"/>
        <w:rPr>
          <w:szCs w:val="18"/>
          <w:lang w:val="el-GR"/>
        </w:rPr>
      </w:pPr>
      <w:r>
        <w:rPr>
          <w:szCs w:val="18"/>
          <w:lang w:val="el-GR"/>
        </w:rPr>
        <w:t>η. η Αστική Εταιρεία με οικονομικό σκοπό (άρθρο 784 ΑΚ και 270 του ν. 4072/2012),</w:t>
      </w:r>
    </w:p>
    <w:p>
      <w:pPr>
        <w:pStyle w:val="Style25"/>
        <w:tabs>
          <w:tab w:val="clear" w:pos="720"/>
          <w:tab w:val="left" w:pos="142" w:leader="none"/>
          <w:tab w:val="left" w:pos="284" w:leader="none"/>
          <w:tab w:val="left" w:pos="426" w:leader="none"/>
        </w:tabs>
        <w:ind w:left="0" w:right="0" w:hanging="0"/>
        <w:rPr/>
      </w:pPr>
      <w:r>
        <w:rPr>
          <w:szCs w:val="18"/>
          <w:lang w:val="el-GR"/>
        </w:rPr>
        <w:t xml:space="preserve">θ. ο Ευρωπαϊκός Όμιλος Οικονομικού Σκοπού που προβλέπεται από τον Κανονισμό 2137/1985/ΕΟΚ (ΕΕΕΚ </w:t>
      </w:r>
      <w:r>
        <w:rPr>
          <w:szCs w:val="18"/>
        </w:rPr>
        <w:t>L</w:t>
      </w:r>
      <w:r>
        <w:rPr>
          <w:szCs w:val="18"/>
          <w:lang w:val="el-GR"/>
        </w:rPr>
        <w:t xml:space="preserve">. 199, διορθωτικό </w:t>
      </w:r>
      <w:r>
        <w:rPr>
          <w:szCs w:val="18"/>
        </w:rPr>
        <w:t>L</w:t>
      </w:r>
      <w:r>
        <w:rPr>
          <w:szCs w:val="18"/>
          <w:lang w:val="el-GR"/>
        </w:rPr>
        <w:t>. 247) και έχει την έδρα του στην ημεδαπή,</w:t>
      </w:r>
    </w:p>
    <w:p>
      <w:pPr>
        <w:pStyle w:val="Style25"/>
        <w:tabs>
          <w:tab w:val="clear" w:pos="720"/>
          <w:tab w:val="left" w:pos="142" w:leader="none"/>
          <w:tab w:val="left" w:pos="284" w:leader="none"/>
          <w:tab w:val="left" w:pos="426" w:leader="none"/>
        </w:tabs>
        <w:ind w:left="0" w:right="0" w:hanging="0"/>
        <w:rPr/>
      </w:pPr>
      <w:r>
        <w:rPr>
          <w:szCs w:val="18"/>
          <w:lang w:val="el-GR"/>
        </w:rPr>
        <w:t xml:space="preserve">ι. η Ευρωπαϊκή Εταιρεία που προβλέπεται στον Κανονισμό 2157/2001/ΕΚ (ΕΕΕΚ </w:t>
      </w:r>
      <w:r>
        <w:rPr>
          <w:szCs w:val="18"/>
        </w:rPr>
        <w:t>L</w:t>
      </w:r>
      <w:r>
        <w:rPr>
          <w:szCs w:val="18"/>
          <w:lang w:val="el-GR"/>
        </w:rPr>
        <w:t>. 294) και έχει την έδρα της στην ημεδαπή,</w:t>
      </w:r>
    </w:p>
    <w:p>
      <w:pPr>
        <w:pStyle w:val="Style25"/>
        <w:tabs>
          <w:tab w:val="clear" w:pos="720"/>
          <w:tab w:val="left" w:pos="142" w:leader="none"/>
          <w:tab w:val="left" w:pos="284" w:leader="none"/>
          <w:tab w:val="left" w:pos="426" w:leader="none"/>
        </w:tabs>
        <w:ind w:left="0" w:right="0" w:hanging="0"/>
        <w:rPr/>
      </w:pPr>
      <w:r>
        <w:rPr>
          <w:szCs w:val="18"/>
          <w:lang w:val="el-GR"/>
        </w:rPr>
        <w:t xml:space="preserve">ια. η Ευρωπαϊκή Συνεταιριστική Εταιρεία που προβλέπεται στον Κανονισμό 1435/2003/ΕΚ (ΕΕΕΚ </w:t>
      </w:r>
      <w:r>
        <w:rPr>
          <w:szCs w:val="18"/>
        </w:rPr>
        <w:t>L</w:t>
      </w:r>
      <w:r>
        <w:rPr>
          <w:szCs w:val="18"/>
          <w:lang w:val="el-GR"/>
        </w:rPr>
        <w:t>. 207) και έχει την έδρα της στην ημεδαπή,</w:t>
      </w:r>
    </w:p>
    <w:p>
      <w:pPr>
        <w:pStyle w:val="Style25"/>
        <w:tabs>
          <w:tab w:val="clear" w:pos="720"/>
          <w:tab w:val="left" w:pos="142" w:leader="none"/>
          <w:tab w:val="left" w:pos="284" w:leader="none"/>
          <w:tab w:val="left" w:pos="426" w:leader="none"/>
        </w:tabs>
        <w:ind w:left="0" w:right="0" w:hanging="0"/>
        <w:rPr/>
      </w:pPr>
      <w:r>
        <w:rPr>
          <w:szCs w:val="18"/>
          <w:lang w:val="el-GR"/>
        </w:rPr>
        <w:t xml:space="preserve">ιβ. τα υποκαταστήματα ή πρακτορεία που διατηρούν στην ημεδαπή οι αλλοδαπές εταιρείες που αναφέρονται στο άρθρο 29 της Οδηγίας (ΕΕ) 2017/1132 (ΕΕ </w:t>
      </w:r>
      <w:r>
        <w:rPr>
          <w:szCs w:val="18"/>
        </w:rPr>
        <w:t>L</w:t>
      </w:r>
      <w:r>
        <w:rPr>
          <w:szCs w:val="18"/>
          <w:lang w:val="el-GR"/>
        </w:rPr>
        <w:t xml:space="preserve"> 169/30.6.2017) και έχουν έδρα σε κράτος - μέλος της Ευρωπαϊκής Ένωσης (Ε.Ε.),</w:t>
      </w:r>
    </w:p>
    <w:p>
      <w:pPr>
        <w:pStyle w:val="Style25"/>
        <w:tabs>
          <w:tab w:val="clear" w:pos="720"/>
          <w:tab w:val="left" w:pos="142" w:leader="none"/>
          <w:tab w:val="left" w:pos="284" w:leader="none"/>
          <w:tab w:val="left" w:pos="426" w:leader="none"/>
        </w:tabs>
        <w:ind w:left="0" w:right="0" w:hanging="0"/>
        <w:rPr>
          <w:szCs w:val="18"/>
          <w:lang w:val="el-GR"/>
        </w:rPr>
      </w:pPr>
      <w:r>
        <w:rPr>
          <w:szCs w:val="18"/>
          <w:lang w:val="el-GR"/>
        </w:rPr>
        <w:t>ιγ.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pPr>
        <w:pStyle w:val="Style25"/>
        <w:tabs>
          <w:tab w:val="clear" w:pos="720"/>
          <w:tab w:val="left" w:pos="142" w:leader="none"/>
          <w:tab w:val="left" w:pos="284" w:leader="none"/>
          <w:tab w:val="left" w:pos="426" w:leader="none"/>
        </w:tabs>
        <w:ind w:left="0" w:right="0" w:hanging="0"/>
        <w:rPr>
          <w:szCs w:val="18"/>
          <w:lang w:val="el-GR"/>
        </w:rPr>
      </w:pPr>
      <w:r>
        <w:rPr>
          <w:szCs w:val="18"/>
          <w:lang w:val="el-GR"/>
        </w:rPr>
        <w:t xml:space="preserve"> </w:t>
      </w:r>
      <w:r>
        <w:rPr>
          <w:szCs w:val="18"/>
          <w:lang w:val="el-GR"/>
        </w:rPr>
        <w:t>ιδ. 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pPr>
        <w:pStyle w:val="Style25"/>
        <w:tabs>
          <w:tab w:val="clear" w:pos="720"/>
          <w:tab w:val="left" w:pos="142" w:leader="none"/>
          <w:tab w:val="left" w:pos="284" w:leader="none"/>
          <w:tab w:val="left" w:pos="426" w:leader="none"/>
        </w:tabs>
        <w:ind w:left="0" w:right="0" w:hanging="0"/>
        <w:rPr/>
      </w:pPr>
      <w:r>
        <w:rPr>
          <w:szCs w:val="18"/>
          <w:lang w:val="el-GR"/>
        </w:rPr>
        <w:t>ιε. η Κοινοπραξία που καταχωρίζεται σύμφωνα με το άρθρο 293 παράγραφος 3 του ν. 4072/2012</w:t>
      </w:r>
    </w:p>
  </w:footnote>
  <w:footnote w:id="46">
    <w:p>
      <w:pPr>
        <w:pStyle w:val="Style25"/>
        <w:tabs>
          <w:tab w:val="clear" w:pos="720"/>
          <w:tab w:val="left" w:pos="142" w:leader="none"/>
          <w:tab w:val="left" w:pos="284" w:leader="none"/>
          <w:tab w:val="left" w:pos="426" w:leader="none"/>
        </w:tabs>
        <w:ind w:left="0" w:right="0" w:hanging="0"/>
        <w:rPr/>
      </w:pPr>
      <w:r>
        <w:rPr>
          <w:rStyle w:val="Style8"/>
        </w:rPr>
        <w:footnoteRef/>
      </w:r>
      <w:r>
        <w:rPr>
          <w:rStyle w:val="Style11"/>
          <w:szCs w:val="18"/>
          <w:lang w:val="el-GR"/>
        </w:rPr>
        <w:t xml:space="preserve"> </w:t>
      </w:r>
      <w:r>
        <w:rPr>
          <w:szCs w:val="18"/>
          <w:lang w:val="el-GR"/>
        </w:rPr>
        <w:t xml:space="preserve"> </w:t>
      </w:r>
      <w:r>
        <w:rPr>
          <w:szCs w:val="18"/>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 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47">
    <w:p>
      <w:pPr>
        <w:pStyle w:val="Normal"/>
        <w:spacing w:before="0" w:after="120"/>
        <w:rPr/>
      </w:pPr>
      <w:r>
        <w:rPr>
          <w:rStyle w:val="Style8"/>
        </w:rPr>
        <w:footnoteRef/>
      </w:r>
      <w:r>
        <w:rPr>
          <w:sz w:val="18"/>
          <w:szCs w:val="18"/>
          <w:lang w:val="el-GR"/>
        </w:rPr>
        <w:t xml:space="preserve">   </w:t>
      </w:r>
      <w:r>
        <w:rPr>
          <w:sz w:val="18"/>
          <w:szCs w:val="18"/>
          <w:lang w:val="el-GR"/>
        </w:rPr>
        <w:t>Πρβλ άρθρο 83 ν. 4412/2016. Επισημαίνεται ότι, ως προς τις διαδικασίες συμβάσεων προμηθειών, γενικών υπηρεσιών, εκπόνησης μελετών και παροχής τεχνικών και λοιπών συναφών επιστημονικών υπηρεσιών, δεν υφίσταται επί του παρόντος εθνικός επίσημος κατάλογος του άρθρου 83 του ν. 4412/2016. Σημειώνεται, περαιτέρω, ότι το Γ.Ε.ΜΗ δεν συνιστά επίσημο κατάλογο, κατά τις διατάξεις του ίδιου άρθρου, και, κατά συνέπεια, δεν πρέπει να συμπληρώνεται από τους οικονομικούς φορείς στο εν λόγω πεδίο στο ΕΕΣΣ η ένδειξη «ΝΑΙ»</w:t>
      </w:r>
    </w:p>
  </w:footnote>
  <w:footnote w:id="48">
    <w:p>
      <w:pPr>
        <w:pStyle w:val="Style25"/>
        <w:tabs>
          <w:tab w:val="clear" w:pos="720"/>
          <w:tab w:val="left" w:pos="142" w:leader="none"/>
          <w:tab w:val="left" w:pos="284" w:leader="none"/>
          <w:tab w:val="left" w:pos="426" w:leader="none"/>
        </w:tabs>
        <w:ind w:left="0" w:right="0" w:hanging="0"/>
        <w:rPr/>
      </w:pPr>
      <w:r>
        <w:rPr>
          <w:rStyle w:val="Style8"/>
        </w:rPr>
        <w:footnoteRef/>
      </w:r>
      <w:r>
        <w:rPr>
          <w:rFonts w:cs="Tahoma" w:ascii="Tahoma" w:hAnsi="Tahoma"/>
          <w:szCs w:val="18"/>
          <w:lang w:val="el-GR"/>
        </w:rPr>
        <w:tab/>
        <w:t xml:space="preserve">     </w:t>
      </w:r>
      <w:r>
        <w:rPr>
          <w:lang w:val="el-GR"/>
        </w:rPr>
        <w:t>Πρβ. παράγραφο 12 άρθρου 80 του ν.4412/2016.</w:t>
      </w:r>
    </w:p>
  </w:footnote>
  <w:footnote w:id="49">
    <w:p>
      <w:pPr>
        <w:pStyle w:val="Style25"/>
        <w:rPr/>
      </w:pPr>
      <w:r>
        <w:rPr>
          <w:rStyle w:val="Style8"/>
        </w:rPr>
        <w:footnoteRef/>
      </w:r>
      <w:r>
        <w:rPr>
          <w:lang w:val="el-GR"/>
        </w:rPr>
        <w:tab/>
        <w:t xml:space="preserve"> </w:t>
      </w:r>
      <w:r>
        <w:rPr>
          <w:lang w:val="el-GR"/>
        </w:rPr>
        <w:t>Άρθρο 96, παρ.7 του ν.4412/16.</w:t>
      </w:r>
    </w:p>
  </w:footnote>
  <w:footnote w:id="50">
    <w:p>
      <w:pPr>
        <w:pStyle w:val="Style25"/>
        <w:tabs>
          <w:tab w:val="clear" w:pos="720"/>
          <w:tab w:val="left" w:pos="142" w:leader="none"/>
          <w:tab w:val="left" w:pos="284" w:leader="none"/>
          <w:tab w:val="left" w:pos="426" w:leader="none"/>
        </w:tabs>
        <w:ind w:left="0" w:right="0" w:hanging="0"/>
        <w:rPr/>
      </w:pPr>
      <w:r>
        <w:rPr>
          <w:rStyle w:val="Style8"/>
        </w:rPr>
        <w:footnoteRef/>
      </w:r>
      <w:r>
        <w:rPr>
          <w:szCs w:val="18"/>
          <w:lang w:val="el-GR"/>
        </w:rPr>
        <w:tab/>
        <w:t xml:space="preserve">    Άρθρο 37 παρ. 4 του ν. 4412/2016 και άρθρο 4 παρ. 2 Κ.Υ.Α. ΕΣΗΔΗΣ Προμήθειες και- Υπηρεσίες.</w:t>
      </w:r>
    </w:p>
  </w:footnote>
  <w:footnote w:id="51">
    <w:p>
      <w:pPr>
        <w:pStyle w:val="Style25"/>
        <w:rPr/>
      </w:pPr>
      <w:r>
        <w:rPr>
          <w:rStyle w:val="Style8"/>
        </w:rPr>
        <w:footnoteRef/>
      </w:r>
      <w:r>
        <w:rPr>
          <w:lang w:val="el-GR"/>
        </w:rPr>
        <w:tab/>
        <w:t xml:space="preserve">    </w:t>
      </w:r>
      <w:r>
        <w:rPr>
          <w:lang w:val="el-GR"/>
        </w:rPr>
        <w:t>Άρθρο 13 παρ. 1.4 και 1.5 της Κ.Υ.Α. ΕΣΗΔΗΣ Προμήθειες και Υπηρεσίες</w:t>
      </w:r>
    </w:p>
  </w:footnote>
  <w:footnote w:id="52">
    <w:p>
      <w:pPr>
        <w:pStyle w:val="Style25"/>
        <w:tabs>
          <w:tab w:val="clear" w:pos="720"/>
          <w:tab w:val="left" w:pos="142" w:leader="none"/>
          <w:tab w:val="left" w:pos="284" w:leader="none"/>
          <w:tab w:val="left" w:pos="426" w:leader="none"/>
        </w:tabs>
        <w:ind w:left="0" w:right="0" w:hanging="0"/>
        <w:rPr/>
      </w:pPr>
      <w:r>
        <w:rPr>
          <w:rStyle w:val="Style8"/>
        </w:rPr>
        <w:footnoteRef/>
      </w:r>
      <w:r>
        <w:rPr>
          <w:rFonts w:cs="Tahoma" w:ascii="Tahoma" w:hAnsi="Tahoma"/>
          <w:szCs w:val="18"/>
          <w:lang w:val="el-GR"/>
        </w:rPr>
        <w:t xml:space="preserve">  </w:t>
      </w:r>
      <w:r>
        <w:rPr>
          <w:rFonts w:cs="Tahoma" w:ascii="Tahoma" w:hAnsi="Tahoma"/>
          <w:szCs w:val="18"/>
          <w:lang w:val="el-GR"/>
        </w:rPr>
        <w:tab/>
      </w:r>
      <w:r>
        <w:rPr>
          <w:lang w:val="el-GR"/>
        </w:rPr>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53">
    <w:p>
      <w:pPr>
        <w:pStyle w:val="Style25"/>
        <w:tabs>
          <w:tab w:val="clear" w:pos="720"/>
          <w:tab w:val="left" w:pos="142" w:leader="none"/>
          <w:tab w:val="left" w:pos="284" w:leader="none"/>
          <w:tab w:val="left" w:pos="426" w:leader="none"/>
        </w:tabs>
        <w:ind w:left="0" w:right="0" w:hanging="0"/>
        <w:rPr/>
      </w:pPr>
      <w:r>
        <w:rPr>
          <w:rStyle w:val="Style8"/>
        </w:rPr>
        <w:footnoteRef/>
      </w:r>
      <w:r>
        <w:rPr>
          <w:vertAlign w:val="superscript"/>
          <w:lang w:val="el-GR"/>
        </w:rPr>
        <w:tab/>
      </w:r>
      <w:r>
        <w:rPr>
          <w:lang w:val="el-GR"/>
        </w:rPr>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54">
    <w:p>
      <w:pPr>
        <w:pStyle w:val="Style25"/>
        <w:tabs>
          <w:tab w:val="clear" w:pos="720"/>
          <w:tab w:val="left" w:pos="142" w:leader="none"/>
          <w:tab w:val="left" w:pos="284" w:leader="none"/>
          <w:tab w:val="left" w:pos="426" w:leader="none"/>
        </w:tabs>
        <w:ind w:left="0" w:right="0" w:hanging="0"/>
        <w:rPr/>
      </w:pPr>
      <w:r>
        <w:rPr>
          <w:rStyle w:val="Style8"/>
        </w:rPr>
        <w:footnoteRef/>
      </w:r>
      <w:r>
        <w:rPr>
          <w:lang w:val="el-GR"/>
        </w:rPr>
        <w:tab/>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55">
    <w:p>
      <w:pPr>
        <w:pStyle w:val="Style25"/>
        <w:tabs>
          <w:tab w:val="clear" w:pos="720"/>
          <w:tab w:val="left" w:pos="142" w:leader="none"/>
          <w:tab w:val="left" w:pos="284" w:leader="none"/>
          <w:tab w:val="left" w:pos="426" w:leader="none"/>
        </w:tabs>
        <w:ind w:left="0" w:right="0" w:hanging="0"/>
        <w:rPr/>
      </w:pPr>
      <w:r>
        <w:rPr>
          <w:rStyle w:val="Style8"/>
        </w:rPr>
        <w:footnoteRef/>
      </w:r>
      <w:r>
        <w:rPr>
          <w:lang w:val="el-GR"/>
        </w:rPr>
        <w:tab/>
        <w:t>Ενδεικτικά συμβολαιογραφικές ένορκες βεβαιώσεις ή λοιπά συμβολαιογραφικά έγγραφα</w:t>
      </w:r>
    </w:p>
  </w:footnote>
  <w:footnote w:id="56">
    <w:p>
      <w:pPr>
        <w:pStyle w:val="Style25"/>
        <w:tabs>
          <w:tab w:val="clear" w:pos="720"/>
          <w:tab w:val="left" w:pos="142" w:leader="none"/>
          <w:tab w:val="left" w:pos="284" w:leader="none"/>
          <w:tab w:val="left" w:pos="426" w:leader="none"/>
        </w:tabs>
        <w:ind w:left="0" w:right="0" w:hanging="0"/>
        <w:rPr/>
      </w:pPr>
      <w:r>
        <w:rPr>
          <w:rStyle w:val="Style8"/>
        </w:rPr>
        <w:footnoteRef/>
      </w:r>
      <w:r>
        <w:rPr>
          <w:lang w:val="el-GR"/>
        </w:rPr>
        <w:t xml:space="preserve">  </w:t>
      </w:r>
      <w:r>
        <w:rPr>
          <w:lang w:val="el-GR"/>
        </w:rPr>
        <w:tab/>
        <w:t>Άρθρο 13 παρ. 1.6 της Κ.Υ.Α. ΕΣΗΔΗΣ Προμήθειες και Υπηρεσίες</w:t>
      </w:r>
    </w:p>
  </w:footnote>
  <w:footnote w:id="57">
    <w:p>
      <w:pPr>
        <w:pStyle w:val="Style25"/>
        <w:tabs>
          <w:tab w:val="clear" w:pos="720"/>
          <w:tab w:val="left" w:pos="142" w:leader="none"/>
        </w:tabs>
        <w:ind w:left="0" w:right="0" w:hanging="0"/>
        <w:rPr/>
      </w:pPr>
      <w:r>
        <w:rPr>
          <w:rStyle w:val="Style8"/>
        </w:rPr>
        <w:footnoteRef/>
      </w:r>
      <w:r>
        <w:rPr>
          <w:szCs w:val="18"/>
          <w:vertAlign w:val="superscript"/>
          <w:lang w:val="el-GR"/>
        </w:rPr>
        <w:t xml:space="preserve"> </w:t>
      </w:r>
      <w:r>
        <w:rPr>
          <w:szCs w:val="18"/>
          <w:lang w:val="el-GR"/>
        </w:rPr>
        <w:t>Άρθρο 94 του ν. 4412/2016</w:t>
      </w:r>
    </w:p>
  </w:footnote>
  <w:footnote w:id="58">
    <w:p>
      <w:pPr>
        <w:pStyle w:val="Style25"/>
        <w:tabs>
          <w:tab w:val="clear" w:pos="720"/>
          <w:tab w:val="left" w:pos="142" w:leader="none"/>
        </w:tabs>
        <w:ind w:left="0" w:right="0" w:hanging="0"/>
        <w:rPr/>
      </w:pPr>
      <w:r>
        <w:rPr>
          <w:rStyle w:val="Style8"/>
        </w:rPr>
        <w:footnoteRef/>
      </w:r>
      <w:r>
        <w:rPr>
          <w:szCs w:val="18"/>
          <w:lang w:val="el-GR"/>
        </w:rPr>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59">
    <w:p>
      <w:pPr>
        <w:pStyle w:val="Style25"/>
        <w:tabs>
          <w:tab w:val="clear" w:pos="720"/>
          <w:tab w:val="left" w:pos="142" w:leader="none"/>
          <w:tab w:val="left" w:pos="284" w:leader="none"/>
          <w:tab w:val="left" w:pos="426" w:leader="none"/>
        </w:tabs>
        <w:ind w:left="0" w:right="0" w:hanging="0"/>
        <w:rPr/>
      </w:pPr>
      <w:r>
        <w:rPr>
          <w:rStyle w:val="Style8"/>
        </w:rPr>
        <w:footnoteRef/>
      </w:r>
      <w:r>
        <w:rPr>
          <w:rFonts w:cs="Tahoma" w:ascii="Tahoma" w:hAnsi="Tahoma"/>
          <w:szCs w:val="18"/>
          <w:lang w:val="el-GR"/>
        </w:rPr>
        <w:tab/>
        <w:t>Άρθρο 58 του ν. 4412/2016.</w:t>
      </w:r>
    </w:p>
  </w:footnote>
  <w:footnote w:id="60">
    <w:p>
      <w:pPr>
        <w:pStyle w:val="Style25"/>
        <w:tabs>
          <w:tab w:val="clear" w:pos="720"/>
          <w:tab w:val="left" w:pos="142" w:leader="none"/>
          <w:tab w:val="left" w:pos="284" w:leader="none"/>
          <w:tab w:val="left" w:pos="426" w:leader="none"/>
        </w:tabs>
        <w:ind w:left="0" w:right="0" w:hanging="0"/>
        <w:rPr/>
      </w:pPr>
      <w:r>
        <w:rPr>
          <w:rStyle w:val="Style8"/>
        </w:rPr>
        <w:footnoteRef/>
      </w:r>
      <w:r>
        <w:rPr>
          <w:szCs w:val="18"/>
          <w:lang w:val="el-GR"/>
        </w:rPr>
        <w:tab/>
        <w:t>Άρθρα 92 έως 97, άρθρο 100 καθώς και άρθρα 102 έως 104 του ν. 4412/16</w:t>
      </w:r>
    </w:p>
  </w:footnote>
  <w:footnote w:id="61">
    <w:p>
      <w:pPr>
        <w:pStyle w:val="Style25"/>
        <w:rPr/>
      </w:pPr>
      <w:r>
        <w:rPr>
          <w:rStyle w:val="Style8"/>
        </w:rPr>
        <w:footnoteRef/>
      </w:r>
      <w:r>
        <w:rPr>
          <w:rFonts w:eastAsia="Arial Unicode MS"/>
          <w:szCs w:val="18"/>
          <w:lang w:val="el-GR"/>
        </w:rPr>
        <w:tab/>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όπως αντικαταστάθηκε από το άρθρο 40 του ν. 4782/21.</w:t>
      </w:r>
    </w:p>
  </w:footnote>
  <w:footnote w:id="62">
    <w:p>
      <w:pPr>
        <w:pStyle w:val="Style25"/>
        <w:rPr/>
      </w:pPr>
      <w:r>
        <w:rPr>
          <w:rStyle w:val="Style8"/>
        </w:rPr>
        <w:footnoteRef/>
      </w:r>
      <w:r>
        <w:rPr>
          <w:szCs w:val="18"/>
          <w:lang w:val="el-GR"/>
        </w:rPr>
        <w:tab/>
        <w:t xml:space="preserve"> </w:t>
      </w:r>
      <w:r>
        <w:rPr>
          <w:szCs w:val="18"/>
          <w:lang w:val="el-GR"/>
        </w:rPr>
        <w:t>Άρθρο 16 παρ. 1 και 2 Κ.Υ.Α. ΕΣΗΔΗΣ Προμήθειες και Υπηρεσίες</w:t>
      </w:r>
    </w:p>
  </w:footnote>
  <w:footnote w:id="63">
    <w:p>
      <w:pPr>
        <w:pStyle w:val="Style25"/>
        <w:rPr/>
      </w:pPr>
      <w:r>
        <w:rPr>
          <w:rStyle w:val="Style8"/>
        </w:rPr>
        <w:footnoteRef/>
      </w:r>
      <w:r>
        <w:rPr>
          <w:szCs w:val="18"/>
          <w:lang w:val="el-GR"/>
        </w:rPr>
        <w:tab/>
        <w:t xml:space="preserve">       </w:t>
      </w:r>
      <w:r>
        <w:rPr>
          <w:szCs w:val="18"/>
          <w:lang w:val="el-GR"/>
        </w:rPr>
        <w:t xml:space="preserve">Άρθρο 102 του ν. 4412/2016. Πρβλ και  έκθεση συνεπειών ρυθμίσεων επί του ως άνω άρθρου 42 ν. 4781/2021 </w:t>
      </w:r>
    </w:p>
  </w:footnote>
  <w:footnote w:id="64">
    <w:p>
      <w:pPr>
        <w:pStyle w:val="Style25"/>
        <w:rPr/>
      </w:pPr>
      <w:r>
        <w:rPr>
          <w:rStyle w:val="Style8"/>
        </w:rPr>
        <w:footnoteRef/>
      </w:r>
      <w:r>
        <w:rPr>
          <w:lang w:val="el-GR"/>
        </w:rPr>
        <w:tab/>
        <w:t xml:space="preserve">   </w:t>
      </w:r>
      <w:r>
        <w:rPr>
          <w:lang w:val="el-GR"/>
        </w:rPr>
        <w:t>Άρθρο 72 παρ.13 Ν.4412/16</w:t>
      </w:r>
    </w:p>
  </w:footnote>
  <w:footnote w:id="65">
    <w:p>
      <w:pPr>
        <w:pStyle w:val="Style25"/>
        <w:rPr/>
      </w:pPr>
      <w:r>
        <w:rPr>
          <w:rStyle w:val="Style8"/>
        </w:rPr>
        <w:footnoteRef/>
      </w:r>
      <w:r>
        <w:rPr>
          <w:lang w:val="el-GR"/>
        </w:rPr>
        <w:tab/>
        <w:t xml:space="preserve">  </w:t>
      </w:r>
      <w:r>
        <w:rPr>
          <w:lang w:val="el-GR"/>
        </w:rPr>
        <w:t>Επισημαίνεται ότι στις γνωμοδοτικές αρμοδιότητες της Επιτροπής Διαγωνισμού ανήκει ο ουσιαστικός έλεγχος και η αξιολόγηση των προσφορών, συμπεριλαμβανομένου και του ζητήματος της απόρριψης προσφορών ως ασυνήθιστα χαμηλών. Πρβλ και απόφαση ΣτΕ ΕΑ 184/2020</w:t>
      </w:r>
    </w:p>
  </w:footnote>
  <w:footnote w:id="66">
    <w:p>
      <w:pPr>
        <w:pStyle w:val="Style25"/>
        <w:rPr/>
      </w:pPr>
      <w:r>
        <w:rPr>
          <w:rStyle w:val="Style8"/>
        </w:rPr>
        <w:footnoteRef/>
      </w:r>
      <w:r>
        <w:rPr>
          <w:lang w:val="el-GR"/>
        </w:rPr>
        <w:tab/>
        <w:t xml:space="preserve"> </w:t>
      </w:r>
      <w:r>
        <w:rPr>
          <w:lang w:val="el-GR"/>
        </w:rPr>
        <w:t>Άρθρο 100, παρ.2 Ν.4412/16</w:t>
      </w:r>
    </w:p>
  </w:footnote>
  <w:footnote w:id="67">
    <w:p>
      <w:pPr>
        <w:pStyle w:val="Style25"/>
        <w:rPr/>
      </w:pPr>
      <w:r>
        <w:rPr>
          <w:rStyle w:val="Style8"/>
        </w:rPr>
        <w:footnoteRef/>
      </w:r>
      <w:r>
        <w:rPr>
          <w:szCs w:val="18"/>
          <w:lang w:val="el-GR"/>
        </w:rPr>
        <w:tab/>
        <w:t xml:space="preserve">Άρθρο 100, παρ. 2 Ν. 4412/2016 </w:t>
      </w:r>
    </w:p>
  </w:footnote>
  <w:footnote w:id="68">
    <w:p>
      <w:pPr>
        <w:pStyle w:val="Style25"/>
        <w:rPr/>
      </w:pPr>
      <w:r>
        <w:rPr>
          <w:rStyle w:val="Style8"/>
        </w:rPr>
        <w:footnoteRef/>
      </w:r>
      <w:r>
        <w:rPr>
          <w:lang w:val="el-GR"/>
        </w:rPr>
        <w:tab/>
        <w:t xml:space="preserve"> </w:t>
      </w:r>
      <w:r>
        <w:rPr>
          <w:lang w:val="el-GR"/>
        </w:rPr>
        <w:t>Άρθρο 100, παρ.2, Ν.4412/16</w:t>
      </w:r>
    </w:p>
  </w:footnote>
  <w:footnote w:id="69">
    <w:p>
      <w:pPr>
        <w:pStyle w:val="Style25"/>
        <w:tabs>
          <w:tab w:val="clear" w:pos="720"/>
          <w:tab w:val="left" w:pos="142" w:leader="none"/>
          <w:tab w:val="left" w:pos="284" w:leader="none"/>
          <w:tab w:val="left" w:pos="426" w:leader="none"/>
        </w:tabs>
        <w:ind w:left="0" w:right="0" w:hanging="0"/>
        <w:rPr/>
      </w:pPr>
      <w:r>
        <w:rPr>
          <w:rStyle w:val="Style8"/>
        </w:rPr>
        <w:footnoteRef/>
      </w:r>
      <w:r>
        <w:rPr>
          <w:rFonts w:cs="Tahoma" w:ascii="Tahoma" w:hAnsi="Tahoma"/>
          <w:szCs w:val="18"/>
          <w:lang w:val="el-GR"/>
        </w:rPr>
        <w:tab/>
      </w:r>
      <w:r>
        <w:rPr>
          <w:szCs w:val="18"/>
          <w:lang w:val="el-GR"/>
        </w:rPr>
        <w:t>Πρβλ άρθρο 17 ΚΥΑ ΕΣΗΔΗΣ Προμήθειες και Υπηρεσίες</w:t>
      </w:r>
    </w:p>
  </w:footnote>
  <w:footnote w:id="70">
    <w:p>
      <w:pPr>
        <w:pStyle w:val="Style25"/>
        <w:tabs>
          <w:tab w:val="clear" w:pos="720"/>
          <w:tab w:val="left" w:pos="142" w:leader="none"/>
          <w:tab w:val="left" w:pos="284" w:leader="none"/>
          <w:tab w:val="left" w:pos="426" w:leader="none"/>
        </w:tabs>
        <w:ind w:left="0" w:right="0" w:hanging="0"/>
        <w:rPr/>
      </w:pPr>
      <w:r>
        <w:rPr>
          <w:rStyle w:val="Style8"/>
        </w:rPr>
        <w:footnoteRef/>
      </w:r>
      <w:r>
        <w:rPr>
          <w:rStyle w:val="FootnoteCharacters"/>
          <w:rFonts w:cs="Calibri"/>
          <w:lang w:val="el-GR"/>
        </w:rPr>
        <w:tab/>
      </w:r>
      <w:r>
        <w:rPr>
          <w:szCs w:val="18"/>
          <w:lang w:val="el-GR"/>
        </w:rPr>
        <w:t xml:space="preserve">    Άρθρο 104 παρ. 2 και 3 του ν. 4412/2016</w:t>
      </w:r>
    </w:p>
  </w:footnote>
  <w:footnote w:id="71">
    <w:p>
      <w:pPr>
        <w:pStyle w:val="Style25"/>
        <w:tabs>
          <w:tab w:val="clear" w:pos="720"/>
          <w:tab w:val="left" w:pos="284" w:leader="none"/>
        </w:tabs>
        <w:ind w:left="0" w:right="0" w:hanging="0"/>
        <w:rPr/>
      </w:pPr>
      <w:r>
        <w:rPr>
          <w:rStyle w:val="Style8"/>
        </w:rPr>
        <w:footnoteRef/>
      </w:r>
      <w:r>
        <w:rPr>
          <w:szCs w:val="18"/>
          <w:lang w:val="el-GR"/>
        </w:rPr>
        <w:tab/>
        <w:t>παραγρ. 1, άρθρο 105 ν. 4412/2016</w:t>
      </w:r>
    </w:p>
  </w:footnote>
  <w:footnote w:id="72">
    <w:p>
      <w:pPr>
        <w:pStyle w:val="Style25"/>
        <w:tabs>
          <w:tab w:val="clear" w:pos="720"/>
          <w:tab w:val="left" w:pos="284" w:leader="none"/>
        </w:tabs>
        <w:ind w:left="0" w:right="0" w:hanging="0"/>
        <w:rPr/>
      </w:pPr>
      <w:r>
        <w:rPr>
          <w:rStyle w:val="Style8"/>
        </w:rPr>
        <w:footnoteRef/>
      </w:r>
      <w:r>
        <w:rPr>
          <w:szCs w:val="18"/>
          <w:lang w:val="el-GR"/>
        </w:rPr>
        <w:tab/>
        <w:t>παραγρ. 1, άρθρο 105 ν. 4412/2016)</w:t>
      </w:r>
    </w:p>
  </w:footnote>
  <w:footnote w:id="73">
    <w:p>
      <w:pPr>
        <w:pStyle w:val="Style25"/>
        <w:tabs>
          <w:tab w:val="clear" w:pos="720"/>
          <w:tab w:val="left" w:pos="142" w:leader="none"/>
          <w:tab w:val="left" w:pos="284" w:leader="none"/>
          <w:tab w:val="left" w:pos="426" w:leader="none"/>
        </w:tabs>
        <w:ind w:left="0" w:right="0" w:hanging="0"/>
        <w:rPr/>
      </w:pPr>
      <w:r>
        <w:rPr>
          <w:rStyle w:val="Style8"/>
        </w:rPr>
        <w:footnoteRef/>
      </w:r>
      <w:r>
        <w:rPr>
          <w:rFonts w:cs="Tahoma" w:ascii="Tahoma" w:hAnsi="Tahoma"/>
          <w:szCs w:val="18"/>
          <w:lang w:val="el-GR"/>
        </w:rPr>
        <w:t xml:space="preserve"> </w:t>
      </w:r>
      <w:r>
        <w:rPr>
          <w:rFonts w:cs="Tahoma" w:ascii="Tahoma" w:hAnsi="Tahoma"/>
          <w:sz w:val="16"/>
          <w:szCs w:val="16"/>
          <w:lang w:val="el-GR"/>
        </w:rPr>
        <w:tab/>
        <w:t>Πρβλ άρθρο 16 παρ. 3 ΚΥΑ ΕΣΗΔΗΣ Προμήθειες και Υπηρεσίες</w:t>
      </w:r>
    </w:p>
  </w:footnote>
  <w:footnote w:id="74">
    <w:p>
      <w:pPr>
        <w:pStyle w:val="Style25"/>
        <w:tabs>
          <w:tab w:val="clear" w:pos="720"/>
          <w:tab w:val="left" w:pos="142" w:leader="none"/>
          <w:tab w:val="left" w:pos="284" w:leader="none"/>
          <w:tab w:val="left" w:pos="426" w:leader="none"/>
        </w:tabs>
        <w:ind w:left="0" w:right="0" w:hanging="0"/>
        <w:rPr/>
      </w:pPr>
      <w:r>
        <w:rPr>
          <w:rStyle w:val="Style8"/>
        </w:rPr>
        <w:footnoteRef/>
      </w:r>
      <w:r>
        <w:rPr>
          <w:rFonts w:cs="Tahoma" w:ascii="Tahoma" w:hAnsi="Tahoma"/>
          <w:szCs w:val="18"/>
          <w:lang w:val="el-GR"/>
        </w:rPr>
        <w:tab/>
        <w:t xml:space="preserve">  </w:t>
      </w:r>
      <w:r>
        <w:rPr>
          <w:rFonts w:cs="Tahoma" w:ascii="Tahoma" w:hAnsi="Tahoma"/>
          <w:sz w:val="16"/>
          <w:szCs w:val="16"/>
          <w:lang w:val="el-GR"/>
        </w:rPr>
        <w:t>Άρθρο 100 παρ. 2 του ν. 4412/2016</w:t>
      </w:r>
    </w:p>
  </w:footnote>
  <w:footnote w:id="75">
    <w:p>
      <w:pPr>
        <w:pStyle w:val="Style25"/>
        <w:tabs>
          <w:tab w:val="clear" w:pos="720"/>
          <w:tab w:val="left" w:pos="142" w:leader="none"/>
          <w:tab w:val="left" w:pos="284" w:leader="none"/>
          <w:tab w:val="left" w:pos="426" w:leader="none"/>
        </w:tabs>
        <w:ind w:left="0" w:right="0" w:hanging="0"/>
        <w:rPr/>
      </w:pPr>
      <w:r>
        <w:rPr>
          <w:rStyle w:val="Style8"/>
        </w:rPr>
        <w:footnoteRef/>
      </w:r>
      <w:r>
        <w:rPr>
          <w:rFonts w:cs="Tahoma" w:ascii="Tahoma" w:hAnsi="Tahoma"/>
          <w:szCs w:val="18"/>
          <w:lang w:val="el-GR"/>
        </w:rPr>
        <w:tab/>
        <w:t xml:space="preserve"> </w:t>
      </w:r>
      <w:r>
        <w:rPr>
          <w:szCs w:val="18"/>
          <w:lang w:val="el-GR"/>
        </w:rPr>
        <w:t>Άρθρο 360 παρ. 1 ν. 4412/2016 και 3 παρ. 1 π.δ. 39/2017.</w:t>
      </w:r>
    </w:p>
  </w:footnote>
  <w:footnote w:id="76">
    <w:p>
      <w:pPr>
        <w:pStyle w:val="Style25"/>
        <w:tabs>
          <w:tab w:val="clear" w:pos="720"/>
          <w:tab w:val="left" w:pos="142" w:leader="none"/>
          <w:tab w:val="left" w:pos="284" w:leader="none"/>
          <w:tab w:val="left" w:pos="426" w:leader="none"/>
        </w:tabs>
        <w:ind w:left="0" w:right="0" w:hanging="0"/>
        <w:rPr/>
      </w:pPr>
      <w:r>
        <w:rPr>
          <w:rStyle w:val="Style8"/>
        </w:rPr>
        <w:footnoteRef/>
      </w:r>
      <w:r>
        <w:rPr>
          <w:rFonts w:cs="Tahoma" w:ascii="Tahoma" w:hAnsi="Tahoma"/>
          <w:szCs w:val="18"/>
          <w:lang w:val="el-GR"/>
        </w:rPr>
        <w:tab/>
      </w:r>
      <w:r>
        <w:rPr>
          <w:szCs w:val="18"/>
          <w:lang w:val="el-GR"/>
        </w:rPr>
        <w:t>Άρθρο 361 του ν. 4412/2016 και 4 π.δ. 39/2017</w:t>
      </w:r>
    </w:p>
  </w:footnote>
  <w:footnote w:id="77">
    <w:p>
      <w:pPr>
        <w:pStyle w:val="Style25"/>
        <w:tabs>
          <w:tab w:val="clear" w:pos="720"/>
          <w:tab w:val="left" w:pos="142" w:leader="none"/>
          <w:tab w:val="left" w:pos="284" w:leader="none"/>
          <w:tab w:val="left" w:pos="426" w:leader="none"/>
        </w:tabs>
        <w:ind w:left="0" w:right="0" w:hanging="0"/>
        <w:rPr/>
      </w:pPr>
      <w:r>
        <w:rPr>
          <w:rStyle w:val="Style8"/>
        </w:rPr>
        <w:footnoteRef/>
      </w:r>
      <w:r>
        <w:rPr>
          <w:szCs w:val="18"/>
          <w:lang w:val="el-GR"/>
        </w:rPr>
        <w:tab/>
        <w:t>Παρ. 2 του άρθρου 9 και άρθρο 18 της Κ.Υ.Α. ΕΣΗΔΗΣ Προμήθειες και Υπηρεσίες</w:t>
      </w:r>
    </w:p>
  </w:footnote>
  <w:footnote w:id="78">
    <w:p>
      <w:pPr>
        <w:pStyle w:val="Style25"/>
        <w:rPr/>
      </w:pPr>
      <w:r>
        <w:rPr>
          <w:rStyle w:val="Style8"/>
        </w:rPr>
        <w:footnoteRef/>
      </w:r>
      <w:r>
        <w:rPr>
          <w:szCs w:val="18"/>
          <w:vertAlign w:val="superscript"/>
          <w:lang w:val="el-GR"/>
        </w:rPr>
        <w:tab/>
        <w:t>63</w:t>
      </w:r>
      <w:r>
        <w:rPr>
          <w:szCs w:val="18"/>
          <w:lang w:val="el-GR"/>
        </w:rPr>
        <w:t xml:space="preserve"> Πρβλ. άρθρο 372 παρ. 3 ν. 4412/2016, σύμφωνα με το οποίο: «Αρμόδιο για την εκδίκαση των υποθέσεων του παρόντος είναι το Διοικητικό Εφετείο της έδρας της Αναθέτουσας Αρχής. Κατ. Εξαίρεση, διαφορές οι οποίες προκύπτουν από την ανάθεση δημόσιων συμβάσεων που εμπίπτουν στο πεδίο εφαρμογής των Οδηγιών 2014/24/ΕΕ &amp; 2014/25/ΕΕ, με εκτιμώμενη αξία μεγαλύτερη των 15.000.000 €, εκδικάζονται από το ΣτΕ.</w:t>
      </w:r>
    </w:p>
  </w:footnote>
  <w:footnote w:id="79">
    <w:p>
      <w:pPr>
        <w:pStyle w:val="Style25"/>
        <w:rPr/>
      </w:pPr>
      <w:r>
        <w:rPr>
          <w:rStyle w:val="Style8"/>
        </w:rPr>
        <w:footnoteRef/>
      </w:r>
      <w:r>
        <w:rPr>
          <w:lang w:val="el-GR"/>
        </w:rPr>
        <w:tab/>
        <w:t xml:space="preserve"> </w:t>
      </w:r>
      <w:r>
        <w:rPr>
          <w:lang w:val="el-GR"/>
        </w:rPr>
        <w:t>Πρβλ. άρθρο 372 παρ. 1 και 2 Ν. 4412/2016.</w:t>
      </w:r>
    </w:p>
  </w:footnote>
  <w:footnote w:id="80">
    <w:p>
      <w:pPr>
        <w:pStyle w:val="Style25"/>
        <w:rPr/>
      </w:pPr>
      <w:r>
        <w:rPr>
          <w:rStyle w:val="Style8"/>
        </w:rPr>
        <w:footnoteRef/>
      </w:r>
      <w:r>
        <w:rPr>
          <w:lang w:val="el-GR"/>
        </w:rPr>
        <w:tab/>
        <w:t xml:space="preserve"> </w:t>
      </w:r>
      <w:r>
        <w:rPr>
          <w:lang w:val="el-GR"/>
        </w:rPr>
        <w:t>Πρβλ. άρθρο 372 παρ. 4 του ν. 4412/2016.</w:t>
      </w:r>
    </w:p>
  </w:footnote>
  <w:footnote w:id="81">
    <w:p>
      <w:pPr>
        <w:pStyle w:val="Style25"/>
        <w:rPr/>
      </w:pPr>
      <w:r>
        <w:rPr>
          <w:rStyle w:val="Style8"/>
        </w:rPr>
        <w:footnoteRef/>
      </w:r>
      <w:r>
        <w:rPr>
          <w:lang w:val="el-GR"/>
        </w:rPr>
        <w:tab/>
        <w:t xml:space="preserve"> </w:t>
      </w:r>
      <w:r>
        <w:rPr>
          <w:lang w:val="el-GR"/>
        </w:rPr>
        <w:t>Πρβλ άρθρο 372 παρ. 6 του ν. 4412/2016.</w:t>
      </w:r>
    </w:p>
  </w:footnote>
  <w:footnote w:id="82">
    <w:p>
      <w:pPr>
        <w:pStyle w:val="Style25"/>
        <w:tabs>
          <w:tab w:val="clear" w:pos="720"/>
          <w:tab w:val="left" w:pos="142" w:leader="none"/>
          <w:tab w:val="left" w:pos="284" w:leader="none"/>
          <w:tab w:val="left" w:pos="426" w:leader="none"/>
        </w:tabs>
        <w:ind w:left="0" w:right="0" w:hanging="0"/>
        <w:rPr/>
      </w:pPr>
      <w:r>
        <w:rPr>
          <w:rStyle w:val="Style8"/>
        </w:rPr>
        <w:footnoteRef/>
      </w:r>
      <w:r>
        <w:rPr>
          <w:rFonts w:cs="Tahoma" w:ascii="Tahoma" w:hAnsi="Tahoma"/>
          <w:szCs w:val="18"/>
          <w:lang w:val="el-GR"/>
        </w:rPr>
        <w:t xml:space="preserve">  </w:t>
      </w:r>
      <w:r>
        <w:rPr>
          <w:szCs w:val="18"/>
          <w:lang w:val="el-GR"/>
        </w:rPr>
        <w:t>Πρβλ άρθρο 24 του ν. 4412/2016</w:t>
      </w:r>
    </w:p>
  </w:footnote>
  <w:footnote w:id="83">
    <w:p>
      <w:pPr>
        <w:pStyle w:val="Style25"/>
        <w:tabs>
          <w:tab w:val="clear" w:pos="720"/>
          <w:tab w:val="left" w:pos="142" w:leader="none"/>
          <w:tab w:val="left" w:pos="284" w:leader="none"/>
          <w:tab w:val="left" w:pos="426" w:leader="none"/>
        </w:tabs>
        <w:ind w:left="0" w:right="0" w:hanging="0"/>
        <w:rPr/>
      </w:pPr>
      <w:r>
        <w:rPr>
          <w:rStyle w:val="Style8"/>
        </w:rPr>
        <w:footnoteRef/>
      </w:r>
      <w:r>
        <w:rPr>
          <w:szCs w:val="18"/>
          <w:lang w:val="el-GR"/>
        </w:rPr>
        <w:tab/>
        <w:t xml:space="preserve">  Πρβλ παρ. 2 του άρθρου 78 του ν. 4412/2016</w:t>
      </w:r>
    </w:p>
  </w:footnote>
  <w:footnote w:id="84">
    <w:p>
      <w:pPr>
        <w:pStyle w:val="Style25"/>
        <w:rPr/>
      </w:pPr>
      <w:r>
        <w:rPr>
          <w:rStyle w:val="Style8"/>
        </w:rPr>
        <w:footnoteRef/>
      </w:r>
      <w:r>
        <w:rPr>
          <w:szCs w:val="18"/>
          <w:lang w:val="el-GR"/>
        </w:rPr>
        <w:tab/>
        <w:t xml:space="preserve">  </w:t>
      </w:r>
      <w:r>
        <w:rPr>
          <w:szCs w:val="18"/>
          <w:lang w:val="el-GR"/>
        </w:rPr>
        <w:t>Πρβλ. άρθρο 132, Ν.4412/16</w:t>
      </w:r>
    </w:p>
  </w:footnote>
  <w:footnote w:id="85">
    <w:p>
      <w:pPr>
        <w:pStyle w:val="Style25"/>
        <w:tabs>
          <w:tab w:val="clear" w:pos="720"/>
          <w:tab w:val="left" w:pos="142" w:leader="none"/>
          <w:tab w:val="left" w:pos="284" w:leader="none"/>
          <w:tab w:val="left" w:pos="426" w:leader="none"/>
        </w:tabs>
        <w:ind w:left="0" w:right="0" w:hanging="0"/>
        <w:rPr/>
      </w:pPr>
      <w:r>
        <w:rPr>
          <w:rStyle w:val="Style8"/>
        </w:rPr>
        <w:footnoteRef/>
      </w:r>
      <w:r>
        <w:rPr>
          <w:szCs w:val="18"/>
          <w:lang w:val="el-GR"/>
        </w:rPr>
        <w:t xml:space="preserve">  </w:t>
      </w:r>
      <w:r>
        <w:rPr>
          <w:szCs w:val="18"/>
          <w:lang w:val="el-GR"/>
        </w:rPr>
        <w:t>Βλ. ιδίως την περ. γ της παρ.4  του άρθρου 203 του ν. 4412/2016</w:t>
      </w:r>
    </w:p>
  </w:footnote>
  <w:footnote w:id="86">
    <w:p>
      <w:pPr>
        <w:pStyle w:val="Style25"/>
        <w:tabs>
          <w:tab w:val="clear" w:pos="720"/>
          <w:tab w:val="left" w:pos="142" w:leader="none"/>
          <w:tab w:val="left" w:pos="284" w:leader="none"/>
          <w:tab w:val="left" w:pos="426" w:leader="none"/>
        </w:tabs>
        <w:ind w:left="0" w:right="0" w:hanging="0"/>
        <w:rPr/>
      </w:pPr>
      <w:r>
        <w:rPr>
          <w:rStyle w:val="Style8"/>
        </w:rPr>
        <w:footnoteRef/>
      </w:r>
      <w:r>
        <w:rPr>
          <w:szCs w:val="18"/>
          <w:lang w:val="el-GR"/>
        </w:rPr>
        <w:t xml:space="preserve">  </w:t>
      </w:r>
      <w:r>
        <w:rPr>
          <w:szCs w:val="18"/>
          <w:lang w:val="el-GR"/>
        </w:rPr>
        <w:t>Άρθρο 132, παρ. 1δ), περ. αα του ν. 4412/2016.  Πρβλ., επίσης, Κατευθυντήρια Οδηγία 22 της Αρχής με τίτλο «Τροποποίηση  συμβάσεων κατά τη διάρκειά τους», Κεφάλαιο ΙΙΙ.Δ. σημείο Ι, σελ. 17 (ΑΔΑ: 7ΜΥΤΟΞΤΒ-ΖΓΖ).</w:t>
      </w:r>
      <w:r>
        <w:rPr>
          <w:rFonts w:cs="Tahoma" w:ascii="Tahoma" w:hAnsi="Tahoma"/>
          <w:sz w:val="16"/>
          <w:szCs w:val="16"/>
          <w:lang w:val="el-GR"/>
        </w:rPr>
        <w:t xml:space="preserve">  </w:t>
      </w:r>
    </w:p>
  </w:footnote>
  <w:footnote w:id="87">
    <w:p>
      <w:pPr>
        <w:pStyle w:val="Style25"/>
        <w:tabs>
          <w:tab w:val="clear" w:pos="720"/>
          <w:tab w:val="left" w:pos="142" w:leader="none"/>
          <w:tab w:val="left" w:pos="284" w:leader="none"/>
          <w:tab w:val="left" w:pos="426" w:leader="none"/>
        </w:tabs>
        <w:ind w:left="0" w:right="0" w:hanging="0"/>
        <w:rPr/>
      </w:pPr>
      <w:r>
        <w:rPr>
          <w:rStyle w:val="Style8"/>
        </w:rPr>
        <w:footnoteRef/>
      </w:r>
      <w:r>
        <w:rPr>
          <w:rFonts w:cs="Tahoma" w:ascii="Tahoma" w:hAnsi="Tahoma"/>
          <w:szCs w:val="18"/>
          <w:lang w:val="el-GR"/>
        </w:rPr>
        <w:tab/>
      </w:r>
      <w:r>
        <w:rPr>
          <w:szCs w:val="18"/>
          <w:lang w:val="el-GR"/>
        </w:rPr>
        <w:t>Άρθρο 203 του ν. 4412/2016, όπως τροποποιήθηκε με το άρθρο 103 του ν. 4782/2021</w:t>
      </w:r>
    </w:p>
  </w:footnote>
  <w:footnote w:id="88">
    <w:p>
      <w:pPr>
        <w:pStyle w:val="Style25"/>
        <w:tabs>
          <w:tab w:val="clear" w:pos="720"/>
          <w:tab w:val="left" w:pos="142" w:leader="none"/>
          <w:tab w:val="left" w:pos="284" w:leader="none"/>
          <w:tab w:val="left" w:pos="426" w:leader="none"/>
        </w:tabs>
        <w:ind w:left="0" w:right="0" w:hanging="0"/>
        <w:rPr/>
      </w:pPr>
      <w:r>
        <w:rPr>
          <w:rStyle w:val="Style8"/>
        </w:rPr>
        <w:footnoteRef/>
      </w:r>
      <w:r>
        <w:rPr>
          <w:rFonts w:cs="Tahoma" w:ascii="Tahoma" w:hAnsi="Tahoma"/>
          <w:szCs w:val="18"/>
          <w:lang w:val="el-GR"/>
        </w:rPr>
        <w:tab/>
        <w:t xml:space="preserve"> </w:t>
      </w:r>
    </w:p>
  </w:footnote>
  <w:footnote w:id="89">
    <w:p>
      <w:pPr>
        <w:pStyle w:val="Style25"/>
        <w:tabs>
          <w:tab w:val="clear" w:pos="720"/>
          <w:tab w:val="left" w:pos="142" w:leader="none"/>
          <w:tab w:val="left" w:pos="284" w:leader="none"/>
          <w:tab w:val="left" w:pos="426" w:leader="none"/>
        </w:tabs>
        <w:ind w:left="0" w:right="0" w:hanging="0"/>
        <w:rPr/>
      </w:pPr>
      <w:r>
        <w:rPr>
          <w:rStyle w:val="Style8"/>
        </w:rPr>
        <w:footnoteRef/>
      </w:r>
      <w:bookmarkStart w:id="352" w:name="_GoBack"/>
      <w:bookmarkEnd w:id="352"/>
      <w:r>
        <w:rPr>
          <w:szCs w:val="18"/>
          <w:lang w:val="el-GR"/>
        </w:rPr>
        <w:tab/>
        <w:t xml:space="preserve">Άρθρο 205Α του ν. 4412/2016. </w:t>
      </w:r>
    </w:p>
  </w:footnote>
  <w:footnote w:id="90">
    <w:p>
      <w:pPr>
        <w:pStyle w:val="Style25"/>
        <w:ind w:left="142" w:right="0" w:hanging="142"/>
        <w:rPr/>
      </w:pPr>
      <w:r>
        <w:rPr>
          <w:rStyle w:val="Style8"/>
        </w:rPr>
        <w:footnoteRef/>
      </w:r>
      <w:r>
        <w:rPr>
          <w:lang w:val="el-GR"/>
        </w:rPr>
        <w:tab/>
        <w:t xml:space="preserve"> </w:t>
      </w:r>
      <w:r>
        <w:rPr>
          <w:lang w:val="el-GR"/>
        </w:rPr>
        <w:t>Το Ευρωπαϊκό Ενιαίο Έγγραφο Συμβάσεων της παρούσας διακήρυξης σε μορφή αρχείου .</w:t>
      </w:r>
      <w:r>
        <w:rPr/>
        <w:t>xml</w:t>
      </w:r>
      <w:r>
        <w:rPr>
          <w:lang w:val="el-GR"/>
        </w:rPr>
        <w:t>,θα μπορούν να το χρησιμοποιήσουν οι οικονομικοί φορείς, προκειμένου να συντάξουν τη σχετική απάντηση τους.</w:t>
      </w:r>
    </w:p>
  </w:footnote>
  <w:footnote w:id="91">
    <w:p>
      <w:pPr>
        <w:pStyle w:val="Style25"/>
        <w:tabs>
          <w:tab w:val="clear" w:pos="720"/>
          <w:tab w:val="left" w:pos="142" w:leader="none"/>
          <w:tab w:val="left" w:pos="284" w:leader="none"/>
          <w:tab w:val="left" w:pos="426" w:leader="none"/>
        </w:tabs>
        <w:ind w:left="0" w:right="0" w:hanging="0"/>
        <w:rPr>
          <w:rFonts w:ascii="Tahoma" w:hAnsi="Tahoma" w:cs="Tahoma"/>
          <w:szCs w:val="18"/>
          <w:lang w:val="el-GR"/>
        </w:rPr>
      </w:pPr>
      <w:r>
        <w:rPr>
          <w:rStyle w:val="Style8"/>
        </w:rPr>
        <w:footnoteRef/>
      </w:r>
      <w:r>
        <w:rPr>
          <w:rFonts w:cs="Tahoma" w:ascii="Tahoma" w:hAnsi="Tahoma"/>
          <w:szCs w:val="18"/>
          <w:lang w:val="el-GR"/>
        </w:rPr>
        <w:tab/>
        <w:t xml:space="preserve"> Οικονομικές προσφορές οι οποίες δεν καλύπτουν τουλάχιστον το κόστος των αμοιβών και της ασφάλισης του προσωπικού καθαριότητας που θα χρησιμοποιηθεί λαμβάνοντας υπόψη την ισχύουσα, κατά το χρόνο υποβολής της προσφοράς, οικεία Συλλογική Σύμβαση των εργαζομένων της χώρας και δεν πληρούν τους όρους υγιεινής και ασφάλειας των εργαζομένων κλπ., καθώς και τα άλλα νόμιμα κόστη δεν θα γίνουν δεκτές.</w:t>
      </w:r>
    </w:p>
    <w:p>
      <w:pPr>
        <w:pStyle w:val="Style25"/>
        <w:tabs>
          <w:tab w:val="clear" w:pos="720"/>
          <w:tab w:val="left" w:pos="142" w:leader="none"/>
          <w:tab w:val="left" w:pos="284" w:leader="none"/>
          <w:tab w:val="left" w:pos="426" w:leader="none"/>
        </w:tabs>
        <w:ind w:left="0" w:right="0" w:hanging="0"/>
        <w:rPr>
          <w:rFonts w:ascii="Tahoma" w:hAnsi="Tahoma" w:cs="Tahoma"/>
          <w:szCs w:val="18"/>
          <w:lang w:val="el-GR"/>
        </w:rPr>
      </w:pPr>
      <w:r>
        <w:rPr>
          <w:rFonts w:cs="Tahoma" w:ascii="Tahoma" w:hAnsi="Tahoma"/>
          <w:szCs w:val="18"/>
          <w:lang w:val="el-GR"/>
        </w:rPr>
        <w:t>Παράλληλα με τη συμπλήρωση του Πίνακα της Οικονομικής Προσφοράς για τα Τμήματα που οι υποψήφιοι ανάδοχοι επιθυμούν, θα υποβληθεί κατάσταση με διευκρινιστική ανάλυση του υπολογισμού, για κάθε τμήμα, της συνολικά προσφερόμενης τιμής και πιο συγκεκριμένα θα πρέπει να γίνει αναλυτικός υπολογισμός της οικονομικής προσφοράς για κάθε τμήμα, με σαφή και επεξηγηματικό τρόπο, προκειμένου να μπορεί άμεσα και εύκολα να ελέγχονται όλα τα επιμέρους κόστη και η συνολικά προκύπτουσα προσφερόμενη τιμή.</w:t>
      </w:r>
    </w:p>
    <w:p>
      <w:pPr>
        <w:pStyle w:val="Style25"/>
        <w:tabs>
          <w:tab w:val="clear" w:pos="720"/>
          <w:tab w:val="left" w:pos="142" w:leader="none"/>
          <w:tab w:val="left" w:pos="284" w:leader="none"/>
          <w:tab w:val="left" w:pos="426" w:leader="none"/>
        </w:tabs>
        <w:ind w:left="0" w:right="0" w:hanging="0"/>
        <w:rPr>
          <w:rFonts w:ascii="Tahoma" w:hAnsi="Tahoma" w:cs="Tahoma"/>
          <w:szCs w:val="18"/>
          <w:lang w:val="el-GR"/>
        </w:rPr>
      </w:pPr>
      <w:r>
        <w:rPr>
          <w:rFonts w:cs="Tahoma" w:ascii="Tahoma" w:hAnsi="Tahoma"/>
          <w:szCs w:val="18"/>
          <w:lang w:val="el-GR"/>
        </w:rPr>
        <w:t>Σημείωση:</w:t>
      </w:r>
    </w:p>
    <w:p>
      <w:pPr>
        <w:pStyle w:val="Style25"/>
        <w:tabs>
          <w:tab w:val="clear" w:pos="720"/>
          <w:tab w:val="left" w:pos="142" w:leader="none"/>
          <w:tab w:val="left" w:pos="284" w:leader="none"/>
          <w:tab w:val="left" w:pos="426" w:leader="none"/>
        </w:tabs>
        <w:ind w:left="0" w:right="0" w:hanging="0"/>
        <w:rPr>
          <w:rFonts w:ascii="Tahoma" w:hAnsi="Tahoma" w:cs="Tahoma"/>
          <w:szCs w:val="18"/>
          <w:lang w:val="el-GR"/>
        </w:rPr>
      </w:pPr>
      <w:r>
        <w:rPr>
          <w:rFonts w:cs="Tahoma" w:ascii="Tahoma" w:hAnsi="Tahoma"/>
          <w:szCs w:val="18"/>
          <w:lang w:val="el-GR"/>
        </w:rPr>
        <w:tab/>
        <w:tab/>
        <w:tab/>
        <w:tab/>
        <w:t xml:space="preserve">  • Ασφαλισμένος που απασχολείται κάτω από τριάντα (30) ώρες την εβδομάδα θα πρέπει να ασφαλιστεί με ΚΠΚ 101 που αφορά την μερική απασχόληση ή εκ περιτροπής   </w:t>
        <w:tab/>
        <w:tab/>
        <w:tab/>
        <w:tab/>
        <w:t xml:space="preserve">          απασχόληση στα ΜΙΚΤΑ ΤΕΑΜ. </w:t>
      </w:r>
    </w:p>
    <w:p>
      <w:pPr>
        <w:pStyle w:val="Style25"/>
        <w:tabs>
          <w:tab w:val="clear" w:pos="720"/>
          <w:tab w:val="left" w:pos="142" w:leader="none"/>
          <w:tab w:val="left" w:pos="284" w:leader="none"/>
          <w:tab w:val="left" w:pos="426" w:leader="none"/>
        </w:tabs>
        <w:ind w:left="0" w:right="0" w:hanging="0"/>
        <w:rPr>
          <w:rFonts w:ascii="Tahoma" w:hAnsi="Tahoma" w:cs="Tahoma"/>
          <w:szCs w:val="18"/>
          <w:lang w:val="el-GR"/>
        </w:rPr>
      </w:pPr>
      <w:r>
        <w:rPr>
          <w:rFonts w:cs="Tahoma" w:ascii="Tahoma" w:hAnsi="Tahoma"/>
          <w:szCs w:val="18"/>
          <w:lang w:val="el-GR"/>
        </w:rPr>
        <w:t xml:space="preserve">               • </w:t>
      </w:r>
      <w:r>
        <w:rPr>
          <w:rFonts w:cs="Tahoma" w:ascii="Tahoma" w:hAnsi="Tahoma"/>
          <w:szCs w:val="18"/>
          <w:lang w:val="el-GR"/>
        </w:rPr>
        <w:t xml:space="preserve">Ασφαλισμένος που απασχολείται πέντε (5) ώρες την ημέρα και πάνω ή τριάντα (30) ώρες συνολικά την εβδομάδα, (σε 5νθήμερη απασχόληση θα πρέπει να παρέχεται </w:t>
        <w:tab/>
        <w:tab/>
        <w:tab/>
        <w:tab/>
        <w:tab/>
        <w:t xml:space="preserve">     επί έξι (6) ώρες την ημέρα) η απασχόληση θεωρείται Πλήρης βάση των εγκύκλιων  82/1985 &amp; 27/2012 και θα πρέπει να ασφαλιστεί με ΚΠΚ 3133 που αφορά μερική ή </w:t>
        <w:tab/>
        <w:tab/>
        <w:tab/>
        <w:tab/>
        <w:tab/>
        <w:t xml:space="preserve">     εκ περιτροπής απασχόληση στα ΒΑΡΕΑ-ΤΕΑΜ. </w:t>
      </w:r>
    </w:p>
    <w:p>
      <w:pPr>
        <w:pStyle w:val="Style25"/>
        <w:tabs>
          <w:tab w:val="clear" w:pos="720"/>
          <w:tab w:val="left" w:pos="142" w:leader="none"/>
          <w:tab w:val="left" w:pos="284" w:leader="none"/>
          <w:tab w:val="left" w:pos="426" w:leader="none"/>
        </w:tabs>
        <w:ind w:left="0" w:right="0" w:hanging="0"/>
        <w:rPr/>
      </w:pPr>
      <w:r>
        <w:rPr>
          <w:rFonts w:cs="Tahoma" w:ascii="Tahoma" w:hAnsi="Tahoma"/>
          <w:szCs w:val="18"/>
          <w:lang w:val="el-GR"/>
        </w:rPr>
        <w:t xml:space="preserve">                • </w:t>
      </w:r>
      <w:r>
        <w:rPr>
          <w:rFonts w:cs="Tahoma" w:ascii="Tahoma" w:hAnsi="Tahoma"/>
          <w:szCs w:val="18"/>
          <w:lang w:val="el-GR"/>
        </w:rPr>
        <w:t>Ασφαλισμένος που απασχολείται σαράντα (40) ώρες εβδομαδιαίως θα πρέπει να ασφαλιστεί με πλήρη απασχόληση ΚΠΚ 105 στα ΒΑΡΕΑ-ΤΕΑΜ.</w:t>
      </w:r>
    </w:p>
  </w:footnote>
  <w:footnote w:id="92">
    <w:p>
      <w:pPr>
        <w:pStyle w:val="Style25"/>
        <w:rPr/>
      </w:pPr>
      <w:r>
        <w:rPr>
          <w:rStyle w:val="Style8"/>
        </w:rPr>
        <w:footnoteRef/>
      </w:r>
      <w:r>
        <w:rPr>
          <w:lang w:val="el-GR"/>
        </w:rPr>
        <w:tab/>
        <w:t xml:space="preserve"> </w:t>
      </w:r>
      <w:r>
        <w:rPr>
          <w:szCs w:val="18"/>
          <w:lang w:val="el-GR"/>
        </w:rPr>
        <w:t>Αφορά στην περίπτωση που δεν προβλέπεται η έκδοση πιστοποιητικού και δεν είναι υποχρεωτική η ένορκη βεβαίωση κατά τους όρους της διακήρυξης και της κείμενης νομοθεσίας</w:t>
      </w:r>
    </w:p>
  </w:footnote>
  <w:footnote w:id="93">
    <w:p>
      <w:pPr>
        <w:pStyle w:val="Style25"/>
        <w:rPr/>
      </w:pPr>
      <w:r>
        <w:rPr>
          <w:rStyle w:val="Style8"/>
        </w:rPr>
        <w:footnoteRef/>
      </w:r>
      <w:r>
        <w:rPr>
          <w:rStyle w:val="FootnoteCharacters"/>
          <w:rFonts w:cs="Calibri"/>
          <w:szCs w:val="18"/>
          <w:lang w:val="el-GR"/>
        </w:rPr>
        <w:tab/>
        <w:t xml:space="preserve"> </w:t>
      </w:r>
      <w:r>
        <w:rPr>
          <w:szCs w:val="18"/>
          <w:lang w:val="el-GR"/>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94">
    <w:p>
      <w:pPr>
        <w:pStyle w:val="Normal"/>
        <w:rPr>
          <w:sz w:val="18"/>
          <w:szCs w:val="18"/>
          <w:lang w:val="el-GR"/>
        </w:rPr>
      </w:pPr>
      <w:r>
        <w:rPr>
          <w:rStyle w:val="Style8"/>
        </w:rPr>
        <w:footnoteRef/>
      </w:r>
      <w:r>
        <w:rPr>
          <w:sz w:val="18"/>
          <w:szCs w:val="18"/>
          <w:lang w:val="el-GR"/>
        </w:rPr>
        <w:t xml:space="preserve"> </w:t>
      </w:r>
      <w:r>
        <w:rPr>
          <w:sz w:val="18"/>
          <w:szCs w:val="18"/>
          <w:lang w:val="el-GR"/>
        </w:rPr>
        <w:t>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pPr>
        <w:pStyle w:val="Style25"/>
        <w:rPr/>
      </w:pPr>
      <w:r>
        <w:rPr/>
      </w:r>
    </w:p>
  </w:footnote>
  <w:footnote w:id="95">
    <w:p>
      <w:pPr>
        <w:pStyle w:val="Style25"/>
        <w:rPr/>
      </w:pPr>
      <w:r>
        <w:rPr>
          <w:rStyle w:val="Style8"/>
        </w:rPr>
        <w:footnoteRef/>
      </w:r>
      <w:r>
        <w:rPr>
          <w:lang w:val="el-GR"/>
        </w:rPr>
        <w:tab/>
        <w:t xml:space="preserve"> </w:t>
      </w:r>
      <w:r>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96">
    <w:p>
      <w:pPr>
        <w:pStyle w:val="Style25"/>
        <w:rPr/>
      </w:pPr>
      <w:r>
        <w:rPr>
          <w:rStyle w:val="Style8"/>
        </w:rPr>
        <w:footnoteRef/>
      </w:r>
      <w:r>
        <w:rPr>
          <w:lang w:val="el-GR"/>
        </w:rPr>
        <w:tab/>
        <w:t xml:space="preserve"> </w:t>
      </w:r>
      <w:r>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97">
    <w:p>
      <w:pPr>
        <w:pStyle w:val="Style25"/>
        <w:rPr/>
      </w:pPr>
      <w:r>
        <w:rPr>
          <w:rStyle w:val="Style8"/>
        </w:rPr>
        <w:footnoteRef/>
      </w:r>
      <w:r>
        <w:rPr>
          <w:lang w:val="el-GR"/>
        </w:rPr>
        <w:tab/>
        <w:t xml:space="preserve"> </w:t>
      </w:r>
      <w:r>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98">
    <w:p>
      <w:pPr>
        <w:pStyle w:val="Style25"/>
        <w:rPr/>
      </w:pPr>
      <w:r>
        <w:rPr>
          <w:rStyle w:val="Style8"/>
        </w:rPr>
        <w:footnoteRef/>
      </w:r>
      <w:r>
        <w:rPr>
          <w:lang w:val="el-GR"/>
        </w:rPr>
        <w:tab/>
        <w:t xml:space="preserve"> </w:t>
      </w:r>
      <w:r>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99">
    <w:p>
      <w:pPr>
        <w:pStyle w:val="Style25"/>
        <w:rPr/>
      </w:pPr>
      <w:r>
        <w:rPr>
          <w:rStyle w:val="Style8"/>
        </w:rPr>
        <w:footnoteRef/>
      </w:r>
      <w:r>
        <w:rPr>
          <w:lang w:val="el-GR"/>
        </w:rPr>
        <w:tab/>
        <w:t xml:space="preserve"> </w:t>
      </w:r>
      <w:r>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100">
    <w:p>
      <w:pPr>
        <w:pStyle w:val="Style25"/>
        <w:rPr/>
      </w:pPr>
      <w:r>
        <w:rPr>
          <w:rStyle w:val="Style8"/>
        </w:rPr>
        <w:footnoteRef/>
      </w:r>
      <w:r>
        <w:rPr>
          <w:lang w:val="el-GR"/>
        </w:rPr>
        <w:tab/>
        <w:t xml:space="preserve"> </w:t>
      </w:r>
      <w:r>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101">
    <w:p>
      <w:pPr>
        <w:pStyle w:val="Style25"/>
        <w:rPr/>
      </w:pPr>
      <w:r>
        <w:rPr>
          <w:rStyle w:val="Style8"/>
        </w:rPr>
        <w:footnoteRef/>
      </w:r>
      <w:r>
        <w:rPr>
          <w:lang w:val="el-GR"/>
        </w:rPr>
        <w:tab/>
        <w:t xml:space="preserve"> </w:t>
      </w:r>
      <w:r>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102">
    <w:p>
      <w:pPr>
        <w:pStyle w:val="Style25"/>
        <w:rPr/>
      </w:pPr>
      <w:r>
        <w:rPr>
          <w:rStyle w:val="Style8"/>
        </w:rPr>
        <w:footnoteRef/>
      </w:r>
      <w:r>
        <w:rPr>
          <w:lang w:val="el-GR"/>
        </w:rPr>
        <w:tab/>
        <w:t xml:space="preserve"> </w:t>
      </w:r>
      <w:r>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103">
    <w:p>
      <w:pPr>
        <w:pStyle w:val="Style25"/>
        <w:ind w:left="142" w:right="0" w:hanging="142"/>
        <w:rPr/>
      </w:pPr>
      <w:r>
        <w:rPr>
          <w:rStyle w:val="Style8"/>
        </w:rPr>
        <w:footnoteRef/>
      </w:r>
      <w:r>
        <w:rPr>
          <w:lang w:val="el-GR"/>
        </w:rPr>
        <w:tab/>
        <w:t xml:space="preserve"> </w:t>
      </w:r>
      <w:r>
        <w:rPr>
          <w:lang w:val="el-GR"/>
        </w:rPr>
        <w:t>Απαιτείται μόνον στην περίπτωση του προσυμβατικού ελέγχου ή της άσκησης προδικαστικής προσφυγής κατά της απόφασης κατακύρωσης</w:t>
      </w:r>
    </w:p>
  </w:footnote>
  <w:footnote w:id="104">
    <w:p>
      <w:pPr>
        <w:pStyle w:val="Style25"/>
        <w:ind w:left="142" w:right="0" w:hanging="142"/>
        <w:rPr/>
      </w:pPr>
      <w:r>
        <w:rPr>
          <w:rStyle w:val="Style8"/>
        </w:rPr>
        <w:footnoteRef/>
      </w:r>
      <w:r>
        <w:rPr>
          <w:rFonts w:cs="Tahoma" w:ascii="Tahoma" w:hAnsi="Tahoma"/>
          <w:szCs w:val="18"/>
          <w:lang w:val="el-GR"/>
        </w:rPr>
        <w:tab/>
        <w:t xml:space="preserve"> </w:t>
      </w:r>
      <w:r>
        <w:rPr>
          <w:rFonts w:cs="Tahoma" w:ascii="Tahoma" w:hAnsi="Tahoma"/>
          <w:sz w:val="16"/>
          <w:szCs w:val="16"/>
          <w:lang w:val="el-GR" w:eastAsia="el-GR"/>
        </w:rPr>
        <w:t>Μνημονεύεται μόνο στην περίπτωση του προσυμβατικού ελέγχου ή της άσκησης προδικαστικής προσφυγής κατά της απόφασης κατακύρωσης]</w:t>
      </w:r>
    </w:p>
  </w:footnote>
  <w:footnote w:id="105">
    <w:p>
      <w:pPr>
        <w:pStyle w:val="Normal"/>
        <w:spacing w:before="0" w:after="0"/>
        <w:rPr/>
      </w:pPr>
      <w:r>
        <w:rPr>
          <w:rStyle w:val="Style8"/>
        </w:rPr>
        <w:footnoteRef/>
      </w:r>
      <w:r>
        <w:rPr>
          <w:rFonts w:cs="Tahoma" w:ascii="Tahoma" w:hAnsi="Tahoma"/>
          <w:sz w:val="16"/>
          <w:szCs w:val="16"/>
          <w:lang w:val="el-GR"/>
        </w:rPr>
        <w:t xml:space="preserve"> </w:t>
      </w:r>
      <w:r>
        <w:rPr>
          <w:rFonts w:cs="Tahoma" w:ascii="Tahoma" w:hAnsi="Tahoma"/>
          <w:sz w:val="16"/>
          <w:szCs w:val="16"/>
          <w:lang w:val="el-GR" w:eastAsia="el-GR"/>
        </w:rPr>
        <w:t>Συμπληρώνονται από την αναθέτουσα αρχή και τα λοιπά σχετικά έγγραφα της σύμβασης</w:t>
      </w:r>
    </w:p>
  </w:footnote>
  <w:footnote w:id="106">
    <w:p>
      <w:pPr>
        <w:pStyle w:val="Normal"/>
        <w:spacing w:before="0" w:after="0"/>
        <w:rPr/>
      </w:pPr>
      <w:r>
        <w:rPr>
          <w:rStyle w:val="Style8"/>
        </w:rPr>
        <w:footnoteRef/>
      </w:r>
      <w:r>
        <w:rPr>
          <w:rFonts w:ascii="Times New Roman" w:hAnsi="Times New Roman"/>
          <w:sz w:val="20"/>
          <w:szCs w:val="20"/>
          <w:lang w:val="el-GR"/>
        </w:rPr>
        <w:t xml:space="preserve"> </w:t>
      </w:r>
      <w:r>
        <w:rPr>
          <w:sz w:val="20"/>
          <w:szCs w:val="20"/>
          <w:lang w:val="el-GR" w:eastAsia="el-GR"/>
        </w:rPr>
        <w:t>Το εδάφιο β ́ συμπληρώνεται μόνον στη περίπτωση συμβάσεων για τις οποίες υπάρχει επιφύλαξη, σύμφωνα με τις τυχόν απαιτήσεις της διακήρυξης για την εκτέλεση ορισμένων κρίσιμων καθηκόντων απευθείας από τον ίδιο τον προσφέροντα ή, αν η προσφορά υποβάλλεται από ένωση οικονομικών φορέων, όπως αναφέρεται στην παρ. 2 του άρθρου 19 του ν. 4412/2016, από έναν από τους συμμετέχοντες στην ένωση αυτή, κατά το άρθρο 78 παρ. 2 του ν. 4412/2016</w:t>
      </w:r>
    </w:p>
    <w:p>
      <w:pPr>
        <w:pStyle w:val="Style25"/>
        <w:rPr/>
      </w:pPr>
      <w:r>
        <w:rPr/>
      </w:r>
    </w:p>
  </w:footnote>
  <w:footnote w:id="107">
    <w:p>
      <w:pPr>
        <w:pStyle w:val="Style25"/>
        <w:ind w:left="0" w:right="0" w:hanging="0"/>
        <w:rPr/>
      </w:pPr>
      <w:r>
        <w:rPr>
          <w:rStyle w:val="Style8"/>
        </w:rPr>
        <w:footnoteRef/>
      </w:r>
      <w:r>
        <w:rPr>
          <w:rFonts w:cs="Tahoma" w:ascii="Tahoma" w:hAnsi="Tahoma"/>
          <w:szCs w:val="18"/>
          <w:lang w:val="el-GR"/>
        </w:rPr>
        <w:t xml:space="preserve"> </w:t>
      </w:r>
      <w:r>
        <w:rPr>
          <w:rFonts w:cs="Tahoma" w:ascii="Tahoma" w:hAnsi="Tahoma"/>
          <w:szCs w:val="18"/>
          <w:lang w:val="el-GR"/>
        </w:rPr>
        <w:t>Αφορά σε φυσικά πρόσωπα</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before="0" w:after="120"/>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before="0" w:after="120"/>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rFonts w:ascii="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strike/>
        <w:vertAlign w:val="baseline"/>
        <w:position w:val="0"/>
        <w:sz w:val="16"/>
        <w:sz w:val="16"/>
        <w:kern w:val="2"/>
        <w:rFonts w:cs="Symbol"/>
        <w:color w:val="0070C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360" w:hanging="360"/>
      </w:pPr>
      <w:rPr>
        <w:rFonts w:ascii="Calibri" w:hAnsi="Calibri" w:cs="Calibri" w:hint="default"/>
        <w:sz w:val="24"/>
        <w:rFonts w:cs="Calibri"/>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bullet"/>
      <w:lvlText w:val=""/>
      <w:lvlJc w:val="left"/>
      <w:pPr>
        <w:ind w:left="1080" w:hanging="360"/>
      </w:pPr>
      <w:rPr>
        <w:rFonts w:ascii="Wingdings" w:hAnsi="Wingdings" w:cs="Wingdings" w:hint="default"/>
        <w:sz w:val="24"/>
        <w:b/>
        <w:rFonts w:cs="Wingdings"/>
        <w:color w:val="auto"/>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5">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decimal"/>
      <w:lvlText w:val="%1."/>
      <w:lvlJc w:val="left"/>
      <w:pPr>
        <w:ind w:left="0" w:hanging="360"/>
      </w:pPr>
    </w:lvl>
    <w:lvl w:ilvl="1">
      <w:start w:val="2"/>
      <w:numFmt w:val="decimal"/>
      <w:lvlText w:val="%1.%2"/>
      <w:lvlJc w:val="left"/>
      <w:pPr>
        <w:ind w:left="204" w:hanging="564"/>
      </w:pPr>
    </w:lvl>
    <w:lvl w:ilvl="2">
      <w:start w:val="7"/>
      <w:numFmt w:val="decimal"/>
      <w:lvlText w:val="%1.%2.%3"/>
      <w:lvlJc w:val="left"/>
      <w:pPr>
        <w:ind w:left="360" w:hanging="720"/>
      </w:pPr>
    </w:lvl>
    <w:lvl w:ilvl="3">
      <w:start w:val="1"/>
      <w:numFmt w:val="decimal"/>
      <w:lvlText w:val="%1.%2.%3.%4"/>
      <w:lvlJc w:val="left"/>
      <w:pPr>
        <w:ind w:left="360" w:hanging="720"/>
      </w:pPr>
    </w:lvl>
    <w:lvl w:ilvl="4">
      <w:start w:val="1"/>
      <w:numFmt w:val="decimal"/>
      <w:lvlText w:val="%1.%2.%3.%4.%5"/>
      <w:lvlJc w:val="left"/>
      <w:pPr>
        <w:ind w:left="720" w:hanging="1080"/>
      </w:pPr>
    </w:lvl>
    <w:lvl w:ilvl="5">
      <w:start w:val="1"/>
      <w:numFmt w:val="decimal"/>
      <w:lvlText w:val="%1.%2.%3.%4.%5.%6"/>
      <w:lvlJc w:val="left"/>
      <w:pPr>
        <w:ind w:left="720" w:hanging="1080"/>
      </w:pPr>
    </w:lvl>
    <w:lvl w:ilvl="6">
      <w:start w:val="1"/>
      <w:numFmt w:val="decimal"/>
      <w:lvlText w:val="%1.%2.%3.%4.%5.%6.%7"/>
      <w:lvlJc w:val="left"/>
      <w:pPr>
        <w:ind w:left="1080" w:hanging="1440"/>
      </w:pPr>
    </w:lvl>
    <w:lvl w:ilvl="7">
      <w:start w:val="1"/>
      <w:numFmt w:val="decimal"/>
      <w:lvlText w:val="%1.%2.%3.%4.%5.%6.%7.%8"/>
      <w:lvlJc w:val="left"/>
      <w:pPr>
        <w:ind w:left="1080" w:hanging="1440"/>
      </w:pPr>
    </w:lvl>
    <w:lvl w:ilvl="8">
      <w:start w:val="1"/>
      <w:numFmt w:val="decimal"/>
      <w:lvlText w:val="%1.%2.%3.%4.%5.%6.%7.%8.%9"/>
      <w:lvlJc w:val="left"/>
      <w:pPr>
        <w:ind w:left="1080" w:hanging="1440"/>
      </w:pPr>
    </w:lvl>
  </w:abstractNum>
  <w:abstractNum w:abstractNumId="8">
    <w:lvl w:ilvl="0">
      <w:start w:val="1"/>
      <w:numFmt w:val="bullet"/>
      <w:lvlText w:val=""/>
      <w:lvlJc w:val="left"/>
      <w:pPr>
        <w:tabs>
          <w:tab w:val="num" w:pos="720"/>
        </w:tabs>
        <w:ind w:left="720" w:hanging="360"/>
      </w:pPr>
      <w:rPr>
        <w:rFonts w:ascii="Symbol" w:hAnsi="Symbol" w:cs="Symbol" w:hint="default"/>
        <w:strike/>
        <w:vertAlign w:val="baseline"/>
        <w:position w:val="0"/>
        <w:sz w:val="24"/>
        <w:sz w:val="24"/>
        <w:kern w:val="2"/>
        <w:rFonts w:cs="Symbol"/>
        <w:color w:val="0070C0"/>
        <w:lang w:val="el-GR"/>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1"/>
      <w:numFmt w:val="decimal"/>
      <w:lvlText w:val="%1."/>
      <w:lvlJc w:val="left"/>
      <w:pPr>
        <w:tabs>
          <w:tab w:val="num" w:pos="360"/>
        </w:tabs>
        <w:ind w:left="360" w:hanging="360"/>
      </w:pPr>
      <w:rPr>
        <w:sz w:val="24"/>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383" w:hanging="360"/>
      </w:pPr>
      <w:rPr>
        <w:rFonts w:ascii="Wingdings" w:hAnsi="Wingdings" w:cs="Wingdings" w:hint="default"/>
        <w:sz w:val="24"/>
        <w:b/>
        <w:rFonts w:cs="Wingdings"/>
      </w:rPr>
    </w:lvl>
    <w:lvl w:ilvl="1">
      <w:start w:val="1"/>
      <w:numFmt w:val="bullet"/>
      <w:lvlText w:val="o"/>
      <w:lvlJc w:val="left"/>
      <w:pPr>
        <w:ind w:left="1103" w:hanging="360"/>
      </w:pPr>
      <w:rPr>
        <w:rFonts w:ascii="Courier New" w:hAnsi="Courier New" w:cs="Courier New" w:hint="default"/>
        <w:rFonts w:cs="Courier New"/>
      </w:rPr>
    </w:lvl>
    <w:lvl w:ilvl="2">
      <w:start w:val="1"/>
      <w:numFmt w:val="bullet"/>
      <w:lvlText w:val=""/>
      <w:lvlJc w:val="left"/>
      <w:pPr>
        <w:ind w:left="1823" w:hanging="360"/>
      </w:pPr>
      <w:rPr>
        <w:rFonts w:ascii="Wingdings" w:hAnsi="Wingdings" w:cs="Wingdings" w:hint="default"/>
        <w:rFonts w:cs="Wingdings"/>
      </w:rPr>
    </w:lvl>
    <w:lvl w:ilvl="3">
      <w:start w:val="1"/>
      <w:numFmt w:val="bullet"/>
      <w:lvlText w:val=""/>
      <w:lvlJc w:val="left"/>
      <w:pPr>
        <w:ind w:left="2543" w:hanging="360"/>
      </w:pPr>
      <w:rPr>
        <w:rFonts w:ascii="Symbol" w:hAnsi="Symbol" w:cs="Symbol" w:hint="default"/>
        <w:rFonts w:cs="Symbol"/>
      </w:rPr>
    </w:lvl>
    <w:lvl w:ilvl="4">
      <w:start w:val="1"/>
      <w:numFmt w:val="bullet"/>
      <w:lvlText w:val="o"/>
      <w:lvlJc w:val="left"/>
      <w:pPr>
        <w:ind w:left="3263" w:hanging="360"/>
      </w:pPr>
      <w:rPr>
        <w:rFonts w:ascii="Courier New" w:hAnsi="Courier New" w:cs="Courier New" w:hint="default"/>
        <w:rFonts w:cs="Courier New"/>
      </w:rPr>
    </w:lvl>
    <w:lvl w:ilvl="5">
      <w:start w:val="1"/>
      <w:numFmt w:val="bullet"/>
      <w:lvlText w:val=""/>
      <w:lvlJc w:val="left"/>
      <w:pPr>
        <w:ind w:left="3983" w:hanging="360"/>
      </w:pPr>
      <w:rPr>
        <w:rFonts w:ascii="Wingdings" w:hAnsi="Wingdings" w:cs="Wingdings" w:hint="default"/>
        <w:rFonts w:cs="Wingdings"/>
      </w:rPr>
    </w:lvl>
    <w:lvl w:ilvl="6">
      <w:start w:val="1"/>
      <w:numFmt w:val="bullet"/>
      <w:lvlText w:val=""/>
      <w:lvlJc w:val="left"/>
      <w:pPr>
        <w:ind w:left="4703" w:hanging="360"/>
      </w:pPr>
      <w:rPr>
        <w:rFonts w:ascii="Symbol" w:hAnsi="Symbol" w:cs="Symbol" w:hint="default"/>
        <w:rFonts w:cs="Symbol"/>
      </w:rPr>
    </w:lvl>
    <w:lvl w:ilvl="7">
      <w:start w:val="1"/>
      <w:numFmt w:val="bullet"/>
      <w:lvlText w:val="o"/>
      <w:lvlJc w:val="left"/>
      <w:pPr>
        <w:ind w:left="5423" w:hanging="360"/>
      </w:pPr>
      <w:rPr>
        <w:rFonts w:ascii="Courier New" w:hAnsi="Courier New" w:cs="Courier New" w:hint="default"/>
        <w:rFonts w:cs="Courier New"/>
      </w:rPr>
    </w:lvl>
    <w:lvl w:ilvl="8">
      <w:start w:val="1"/>
      <w:numFmt w:val="bullet"/>
      <w:lvlText w:val=""/>
      <w:lvlJc w:val="left"/>
      <w:pPr>
        <w:ind w:left="6143" w:hanging="360"/>
      </w:pPr>
      <w:rPr>
        <w:rFonts w:ascii="Wingdings" w:hAnsi="Wingdings" w:cs="Wingdings" w:hint="default"/>
        <w:rFonts w:cs="Wingdings"/>
      </w:rPr>
    </w:lvl>
  </w:abstractNum>
  <w:abstractNum w:abstractNumId="11">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decimal"/>
      <w:lvlText w:val="%1)"/>
      <w:lvlJc w:val="left"/>
      <w:pPr>
        <w:ind w:left="570" w:hanging="375"/>
      </w:pPr>
    </w:lvl>
    <w:lvl w:ilvl="1">
      <w:start w:val="1"/>
      <w:numFmt w:val="lowerLetter"/>
      <w:lvlText w:val="%2."/>
      <w:lvlJc w:val="left"/>
      <w:pPr>
        <w:ind w:left="1275" w:hanging="360"/>
      </w:pPr>
    </w:lvl>
    <w:lvl w:ilvl="2">
      <w:start w:val="1"/>
      <w:numFmt w:val="lowerRoman"/>
      <w:lvlText w:val="%3."/>
      <w:lvlJc w:val="righ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13">
    <w:lvl w:ilvl="0">
      <w:start w:val="1"/>
      <w:numFmt w:val="decimal"/>
      <w:lvlText w:val="%1."/>
      <w:lvlJc w:val="left"/>
      <w:pPr>
        <w:ind w:left="720" w:hanging="360"/>
      </w:pPr>
      <w:rPr>
        <w:sz w:val="24"/>
        <w:rFonts w:cs="Times New Roman"/>
      </w:rPr>
    </w:lvl>
    <w:lvl w:ilvl="1">
      <w:start w:val="1"/>
      <w:numFmt w:val="decimal"/>
      <w:lvlText w:val="%1.%2"/>
      <w:lvlJc w:val="left"/>
      <w:pPr>
        <w:ind w:left="1004"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4">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Wingdings"/>
        <w:color w:val="auto"/>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Wingdings"/>
      </w:rPr>
    </w:lvl>
    <w:lvl w:ilvl="8">
      <w:start w:val="1"/>
      <w:numFmt w:val="bullet"/>
      <w:lvlText w:val=""/>
      <w:lvlJc w:val="left"/>
      <w:pPr>
        <w:ind w:left="7200" w:hanging="360"/>
      </w:pPr>
      <w:rPr>
        <w:rFonts w:ascii="Wingdings" w:hAnsi="Wingdings" w:cs="Wingdings" w:hint="default"/>
        <w:rFonts w:cs="Wingdings"/>
      </w:rPr>
    </w:lvl>
  </w:abstractNum>
  <w:abstractNum w:abstractNumId="15">
    <w:lvl w:ilvl="0">
      <w:start w:val="1"/>
      <w:numFmt w:val="decimal"/>
      <w:lvlText w:val="%1."/>
      <w:lvlJc w:val="left"/>
      <w:pPr>
        <w:ind w:left="720" w:hanging="360"/>
      </w:pPr>
      <w:rPr>
        <w:sz w:val="24"/>
        <w:b/>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Symbo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Wingdings"/>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Symbo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Wingdings"/>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Times New Roman"/>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Times New Roman"/>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1080" w:hanging="360"/>
      </w:pPr>
      <w:rPr>
        <w:rFonts w:ascii="Symbol" w:hAnsi="Symbol" w:cs="Symbol" w:hint="default"/>
        <w:sz w:val="24"/>
        <w:rFonts w:cs="Symbol"/>
      </w:rPr>
    </w:lvl>
    <w:lvl w:ilvl="1">
      <w:start w:val="1"/>
      <w:numFmt w:val="bullet"/>
      <w:lvlText w:val="o"/>
      <w:lvlJc w:val="left"/>
      <w:pPr>
        <w:ind w:left="1800" w:hanging="360"/>
      </w:pPr>
      <w:rPr>
        <w:rFonts w:ascii="Courier New" w:hAnsi="Courier New" w:cs="Courier New" w:hint="default"/>
        <w:rFonts w:cs="Calibri"/>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Wingdings"/>
      </w:rPr>
    </w:lvl>
    <w:lvl w:ilvl="8">
      <w:start w:val="1"/>
      <w:numFmt w:val="bullet"/>
      <w:lvlText w:val=""/>
      <w:lvlJc w:val="left"/>
      <w:pPr>
        <w:ind w:left="6840" w:hanging="360"/>
      </w:pPr>
      <w:rPr>
        <w:rFonts w:ascii="Wingdings" w:hAnsi="Wingdings" w:cs="Wingdings" w:hint="default"/>
        <w:rFonts w:cs="Wingdings"/>
      </w:rPr>
    </w:lvl>
  </w:abstractNum>
  <w:abstractNum w:abstractNumId="20">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Symbol"/>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Wingdings"/>
      </w:rPr>
    </w:lvl>
    <w:lvl w:ilvl="8">
      <w:start w:val="1"/>
      <w:numFmt w:val="bullet"/>
      <w:lvlText w:val=""/>
      <w:lvlJc w:val="left"/>
      <w:pPr>
        <w:ind w:left="7200" w:hanging="360"/>
      </w:pPr>
      <w:rPr>
        <w:rFonts w:ascii="Wingdings" w:hAnsi="Wingdings" w:cs="Wingdings" w:hint="default"/>
        <w:rFonts w:cs="Wingdings"/>
      </w:rPr>
    </w:lvl>
  </w:abstractNum>
  <w:abstractNum w:abstractNumId="21">
    <w:lvl w:ilvl="0">
      <w:start w:val="1"/>
      <w:numFmt w:val="bullet"/>
      <w:lvlText w:val=""/>
      <w:lvlJc w:val="left"/>
      <w:pPr>
        <w:ind w:left="1146" w:hanging="360"/>
      </w:pPr>
      <w:rPr>
        <w:rFonts w:ascii="Symbol" w:hAnsi="Symbol" w:cs="Symbol" w:hint="default"/>
        <w:sz w:val="24"/>
        <w:rFonts w:cs="Symbol"/>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Wingdings"/>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b/>
        <w:rFonts w:cs="Symbol"/>
      </w:rPr>
    </w:lvl>
    <w:lvl w:ilvl="8">
      <w:start w:val="1"/>
      <w:numFmt w:val="bullet"/>
      <w:lvlText w:val=""/>
      <w:lvlJc w:val="left"/>
      <w:pPr>
        <w:ind w:left="6906" w:hanging="360"/>
      </w:pPr>
      <w:rPr>
        <w:rFonts w:ascii="Wingdings" w:hAnsi="Wingdings" w:cs="Wingdings" w:hint="default"/>
        <w:rFonts w:cs="Wingdings"/>
      </w:r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bullet"/>
      <w:lvlText w:val=""/>
      <w:lvlJc w:val="left"/>
      <w:pPr>
        <w:ind w:left="107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Symbo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Wingdings"/>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bullet"/>
      <w:lvlText w:val=""/>
      <w:lvlJc w:val="left"/>
      <w:pPr>
        <w:ind w:left="294" w:hanging="360"/>
      </w:pPr>
      <w:rPr>
        <w:rFonts w:ascii="Symbol" w:hAnsi="Symbol" w:cs="Symbol" w:hint="default"/>
        <w:sz w:val="24"/>
        <w:rFonts w:cs="Symbol"/>
      </w:rPr>
    </w:lvl>
    <w:lvl w:ilvl="1">
      <w:start w:val="1"/>
      <w:numFmt w:val="bullet"/>
      <w:lvlText w:val="o"/>
      <w:lvlJc w:val="left"/>
      <w:pPr>
        <w:ind w:left="1014" w:hanging="360"/>
      </w:pPr>
      <w:rPr>
        <w:rFonts w:ascii="Courier New" w:hAnsi="Courier New" w:cs="Courier New" w:hint="default"/>
        <w:rFonts w:cs="Times New Roman"/>
      </w:rPr>
    </w:lvl>
    <w:lvl w:ilvl="2">
      <w:start w:val="1"/>
      <w:numFmt w:val="bullet"/>
      <w:lvlText w:val=""/>
      <w:lvlJc w:val="left"/>
      <w:pPr>
        <w:ind w:left="1734" w:hanging="360"/>
      </w:pPr>
      <w:rPr>
        <w:rFonts w:ascii="Wingdings" w:hAnsi="Wingdings" w:cs="Wingdings" w:hint="default"/>
        <w:rFonts w:cs="Wingdings"/>
      </w:rPr>
    </w:lvl>
    <w:lvl w:ilvl="3">
      <w:start w:val="1"/>
      <w:numFmt w:val="bullet"/>
      <w:lvlText w:val=""/>
      <w:lvlJc w:val="left"/>
      <w:pPr>
        <w:ind w:left="2454" w:hanging="360"/>
      </w:pPr>
      <w:rPr>
        <w:rFonts w:ascii="Symbol" w:hAnsi="Symbol" w:cs="Symbol" w:hint="default"/>
        <w:rFonts w:cs="Symbol"/>
      </w:rPr>
    </w:lvl>
    <w:lvl w:ilvl="4">
      <w:start w:val="1"/>
      <w:numFmt w:val="bullet"/>
      <w:lvlText w:val="o"/>
      <w:lvlJc w:val="left"/>
      <w:pPr>
        <w:ind w:left="3174" w:hanging="360"/>
      </w:pPr>
      <w:rPr>
        <w:rFonts w:ascii="Courier New" w:hAnsi="Courier New" w:cs="Courier New" w:hint="default"/>
        <w:rFonts w:cs="Times New Roman"/>
      </w:rPr>
    </w:lvl>
    <w:lvl w:ilvl="5">
      <w:start w:val="1"/>
      <w:numFmt w:val="bullet"/>
      <w:lvlText w:val=""/>
      <w:lvlJc w:val="left"/>
      <w:pPr>
        <w:ind w:left="3894" w:hanging="360"/>
      </w:pPr>
      <w:rPr>
        <w:rFonts w:ascii="Wingdings" w:hAnsi="Wingdings" w:cs="Wingdings" w:hint="default"/>
        <w:rFonts w:cs="Wingdings"/>
      </w:rPr>
    </w:lvl>
    <w:lvl w:ilvl="6">
      <w:start w:val="1"/>
      <w:numFmt w:val="bullet"/>
      <w:lvlText w:val=""/>
      <w:lvlJc w:val="left"/>
      <w:pPr>
        <w:ind w:left="4614" w:hanging="360"/>
      </w:pPr>
      <w:rPr>
        <w:rFonts w:ascii="Symbol" w:hAnsi="Symbol" w:cs="Symbol" w:hint="default"/>
        <w:rFonts w:cs="Symbol"/>
      </w:rPr>
    </w:lvl>
    <w:lvl w:ilvl="7">
      <w:start w:val="1"/>
      <w:numFmt w:val="bullet"/>
      <w:lvlText w:val="o"/>
      <w:lvlJc w:val="left"/>
      <w:pPr>
        <w:ind w:left="5334" w:hanging="360"/>
      </w:pPr>
      <w:rPr>
        <w:rFonts w:ascii="Courier New" w:hAnsi="Courier New" w:cs="Courier New" w:hint="default"/>
        <w:rFonts w:cs="Times New Roman"/>
      </w:rPr>
    </w:lvl>
    <w:lvl w:ilvl="8">
      <w:start w:val="1"/>
      <w:numFmt w:val="bullet"/>
      <w:lvlText w:val=""/>
      <w:lvlJc w:val="left"/>
      <w:pPr>
        <w:ind w:left="6054" w:hanging="360"/>
      </w:pPr>
      <w:rPr>
        <w:rFonts w:ascii="Wingdings" w:hAnsi="Wingdings" w:cs="Wingdings" w:hint="default"/>
        <w:rFonts w:cs="Wingdings"/>
      </w:rPr>
    </w:lvl>
  </w:abstractNum>
  <w:abstractNum w:abstractNumId="25">
    <w:lvl w:ilvl="0">
      <w:start w:val="1"/>
      <w:numFmt w:val="bullet"/>
      <w:lvlText w:val=""/>
      <w:lvlJc w:val="left"/>
      <w:pPr>
        <w:ind w:left="1440" w:hanging="360"/>
      </w:pPr>
      <w:rPr>
        <w:rFonts w:ascii="Wingdings" w:hAnsi="Wingdings" w:cs="Wingdings" w:hint="default"/>
        <w:sz w:val="24"/>
        <w:rFonts w:cs="Wingdings"/>
      </w:rPr>
    </w:lvl>
    <w:lvl w:ilvl="1">
      <w:start w:val="1"/>
      <w:numFmt w:val="bullet"/>
      <w:lvlText w:val="o"/>
      <w:lvlJc w:val="left"/>
      <w:pPr>
        <w:ind w:left="2160" w:hanging="360"/>
      </w:pPr>
      <w:rPr>
        <w:rFonts w:ascii="Courier New" w:hAnsi="Courier New" w:cs="Courier New" w:hint="default"/>
        <w:rFonts w:cs="Times New Roman"/>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Times New Roman"/>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Times New Roman"/>
      </w:rPr>
    </w:lvl>
    <w:lvl w:ilvl="8">
      <w:start w:val="1"/>
      <w:numFmt w:val="bullet"/>
      <w:lvlText w:val=""/>
      <w:lvlJc w:val="left"/>
      <w:pPr>
        <w:ind w:left="7200" w:hanging="360"/>
      </w:pPr>
      <w:rPr>
        <w:rFonts w:ascii="Wingdings" w:hAnsi="Wingdings" w:cs="Wingdings" w:hint="default"/>
        <w:rFonts w:cs="Wingdings"/>
      </w:rPr>
    </w:lvl>
  </w:abstractNum>
  <w:abstractNum w:abstractNumId="26">
    <w:lvl w:ilvl="0">
      <w:start w:val="1"/>
      <w:numFmt w:val="bullet"/>
      <w:lvlText w:val=""/>
      <w:lvlJc w:val="left"/>
      <w:pPr>
        <w:tabs>
          <w:tab w:val="num" w:pos="720"/>
        </w:tabs>
        <w:ind w:left="720" w:hanging="360"/>
      </w:pPr>
      <w:rPr>
        <w:rFonts w:ascii="Wingdings" w:hAnsi="Wingdings" w:cs="Wingdings" w:hint="default"/>
        <w:sz w:val="24"/>
        <w:b w:val="false"/>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27">
    <w:lvl w:ilvl="0">
      <w:start w:val="1"/>
      <w:numFmt w:val="bullet"/>
      <w:lvlText w:val=""/>
      <w:lvlJc w:val="left"/>
      <w:pPr>
        <w:tabs>
          <w:tab w:val="num" w:pos="720"/>
        </w:tabs>
        <w:ind w:left="720" w:hanging="360"/>
      </w:pPr>
      <w:rPr>
        <w:rFonts w:ascii="Wingdings" w:hAnsi="Wingdings" w:cs="Wingdings" w:hint="default"/>
        <w:sz w:val="24"/>
        <w:b w:val="false"/>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2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54"/>
  <w:embedSystemFonts/>
  <w:defaultTabStop w:val="720"/>
  <w:autoHyphenation w:val="false"/>
  <w:footnotePr>
    <w:numFmt w:val="decimal"/>
    <w:footnote w:id="0"/>
    <w:footnote w:id="1"/>
  </w:footnotePr>
  <w:compa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true"/>
      <w:bidi w:val="0"/>
      <w:spacing w:before="0" w:after="120"/>
      <w:jc w:val="both"/>
    </w:pPr>
    <w:rPr>
      <w:rFonts w:ascii="Calibri" w:hAnsi="Calibri" w:eastAsia="Times New Roman" w:cs="Calibri"/>
      <w:color w:val="auto"/>
      <w:kern w:val="0"/>
      <w:sz w:val="22"/>
      <w:szCs w:val="24"/>
      <w:lang w:val="en-GB" w:eastAsia="zh-CN" w:bidi="ar-SA"/>
    </w:rPr>
  </w:style>
  <w:style w:type="paragraph" w:styleId="1" w:customStyle="1">
    <w:name w:val="Heading 1"/>
    <w:basedOn w:val="Normal"/>
    <w:next w:val="Normal"/>
    <w:qFormat/>
    <w:pPr>
      <w:keepNext w:val="true"/>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2" w:customStyle="1">
    <w:name w:val="Heading 2"/>
    <w:basedOn w:val="1"/>
    <w:next w:val="Normal"/>
    <w:qFormat/>
    <w:pPr>
      <w:pageBreakBefore w:val="false"/>
      <w:pBdr>
        <w:bottom w:val="single" w:sz="12" w:space="1" w:color="000080"/>
      </w:pBdr>
      <w:tabs>
        <w:tab w:val="clear" w:pos="720"/>
        <w:tab w:val="left" w:pos="567" w:leader="none"/>
      </w:tabs>
      <w:spacing w:before="240" w:after="80"/>
      <w:ind w:left="567" w:right="0" w:hanging="567"/>
      <w:outlineLvl w:val="1"/>
    </w:pPr>
    <w:rPr>
      <w:rFonts w:cs="Times New Roman"/>
      <w:bCs w:val="false"/>
      <w:color w:val="002060"/>
      <w:sz w:val="22"/>
      <w:szCs w:val="20"/>
      <w:lang w:val="en-GB"/>
    </w:rPr>
  </w:style>
  <w:style w:type="paragraph" w:styleId="3" w:customStyle="1">
    <w:name w:val="Heading 3"/>
    <w:basedOn w:val="Normal"/>
    <w:next w:val="Normal"/>
    <w:qFormat/>
    <w:pPr>
      <w:keepNext w:val="true"/>
      <w:spacing w:before="240" w:after="60"/>
      <w:ind w:left="567" w:right="0" w:hanging="567"/>
      <w:outlineLvl w:val="2"/>
    </w:pPr>
    <w:rPr>
      <w:rFonts w:ascii="Arial" w:hAnsi="Arial" w:cs="Times New Roman"/>
      <w:b/>
      <w:bCs/>
      <w:szCs w:val="26"/>
    </w:rPr>
  </w:style>
  <w:style w:type="paragraph" w:styleId="4" w:customStyle="1">
    <w:name w:val="Heading 4"/>
    <w:basedOn w:val="Normal"/>
    <w:next w:val="Normal"/>
    <w:qFormat/>
    <w:pPr>
      <w:keepNext w:val="true"/>
      <w:spacing w:before="240" w:after="60"/>
      <w:outlineLvl w:val="3"/>
    </w:pPr>
    <w:rPr>
      <w:rFonts w:ascii="Arial" w:hAnsi="Arial" w:cs="Times New Roman"/>
      <w:b/>
      <w:bCs/>
      <w:szCs w:val="28"/>
    </w:rPr>
  </w:style>
  <w:style w:type="paragraph" w:styleId="5" w:customStyle="1">
    <w:name w:val="Heading 5"/>
    <w:basedOn w:val="Normal"/>
    <w:next w:val="Normal"/>
    <w:qFormat/>
    <w:pPr>
      <w:tabs>
        <w:tab w:val="clear" w:pos="720"/>
        <w:tab w:val="left" w:pos="3050" w:leader="none"/>
      </w:tabs>
      <w:spacing w:lineRule="exact" w:line="280" w:before="200" w:after="200"/>
      <w:ind w:left="3050" w:right="0" w:hanging="850"/>
      <w:outlineLvl w:val="4"/>
    </w:pPr>
    <w:rPr>
      <w:rFonts w:ascii="Lucida Sans" w:hAnsi="Lucida Sans" w:cs="Lucida Sans"/>
      <w:b/>
      <w:szCs w:val="20"/>
      <w:lang w:val="en-US"/>
    </w:rPr>
  </w:style>
  <w:style w:type="paragraph" w:styleId="6" w:customStyle="1">
    <w:name w:val="Heading 6"/>
    <w:basedOn w:val="Normal"/>
    <w:next w:val="Normal"/>
    <w:qFormat/>
    <w:pPr>
      <w:keepNext w:val="true"/>
      <w:tabs>
        <w:tab w:val="clear" w:pos="720"/>
        <w:tab w:val="left" w:pos="1152" w:leader="none"/>
      </w:tabs>
      <w:spacing w:before="0" w:after="0"/>
      <w:ind w:left="0" w:right="368" w:firstLine="709"/>
      <w:outlineLvl w:val="5"/>
    </w:pPr>
    <w:rPr>
      <w:rFonts w:ascii="Times New Roman" w:hAnsi="Times New Roman" w:cs="Times New Roman"/>
      <w:b/>
      <w:bCs/>
      <w:sz w:val="24"/>
      <w:u w:val="single"/>
      <w:lang w:val="el-GR" w:eastAsia="ar-SA"/>
    </w:rPr>
  </w:style>
  <w:style w:type="paragraph" w:styleId="7" w:customStyle="1">
    <w:name w:val="Heading 7"/>
    <w:basedOn w:val="Normal"/>
    <w:next w:val="Normal"/>
    <w:qFormat/>
    <w:pPr>
      <w:keepNext w:val="true"/>
      <w:tabs>
        <w:tab w:val="clear" w:pos="720"/>
        <w:tab w:val="left" w:pos="1296" w:leader="none"/>
      </w:tabs>
      <w:spacing w:before="0" w:after="0"/>
      <w:ind w:left="709" w:right="368" w:hanging="0"/>
      <w:jc w:val="center"/>
      <w:outlineLvl w:val="6"/>
    </w:pPr>
    <w:rPr>
      <w:rFonts w:ascii="Times New Roman" w:hAnsi="Times New Roman" w:cs="Times New Roman"/>
      <w:b/>
      <w:bCs/>
      <w:sz w:val="24"/>
      <w:lang w:val="el-GR" w:eastAsia="ar-SA"/>
    </w:rPr>
  </w:style>
  <w:style w:type="character" w:styleId="DefaultParagraphFont" w:default="1">
    <w:name w:val="Default Paragraph Font"/>
    <w:qFormat/>
    <w:rPr/>
  </w:style>
  <w:style w:type="character" w:styleId="1Char" w:customStyle="1">
    <w:name w:val="Επικεφαλίδα 1 Char"/>
    <w:basedOn w:val="DefaultParagraphFont"/>
    <w:qFormat/>
    <w:rPr>
      <w:rFonts w:ascii="Arial" w:hAnsi="Arial" w:cs="Times New Roman"/>
      <w:b/>
      <w:color w:val="333399"/>
      <w:sz w:val="32"/>
      <w:lang w:val="en-US"/>
    </w:rPr>
  </w:style>
  <w:style w:type="character" w:styleId="2Char" w:customStyle="1">
    <w:name w:val="Επικεφαλίδα 2 Char"/>
    <w:qFormat/>
    <w:rPr>
      <w:rFonts w:ascii="Arial" w:hAnsi="Arial"/>
      <w:b/>
      <w:color w:val="002060"/>
      <w:sz w:val="22"/>
      <w:lang w:val="en-GB" w:eastAsia="zh-CN"/>
    </w:rPr>
  </w:style>
  <w:style w:type="character" w:styleId="3Char" w:customStyle="1">
    <w:name w:val="Επικεφαλίδα 3 Char"/>
    <w:basedOn w:val="DefaultParagraphFont"/>
    <w:qFormat/>
    <w:rPr>
      <w:rFonts w:ascii="Arial" w:hAnsi="Arial" w:cs="Times New Roman"/>
      <w:b/>
      <w:sz w:val="26"/>
      <w:lang w:val="en-GB"/>
    </w:rPr>
  </w:style>
  <w:style w:type="character" w:styleId="4Char" w:customStyle="1">
    <w:name w:val="Επικεφαλίδα 4 Char"/>
    <w:basedOn w:val="DefaultParagraphFont"/>
    <w:qFormat/>
    <w:rPr>
      <w:rFonts w:ascii="Arial" w:hAnsi="Arial" w:cs="Times New Roman"/>
      <w:b/>
      <w:sz w:val="28"/>
      <w:lang w:val="en-GB"/>
    </w:rPr>
  </w:style>
  <w:style w:type="character" w:styleId="5Char" w:customStyle="1">
    <w:name w:val="Επικεφαλίδα 5 Char"/>
    <w:basedOn w:val="DefaultParagraphFont"/>
    <w:qFormat/>
    <w:rPr>
      <w:rFonts w:ascii="Calibri" w:hAnsi="Calibri" w:cs="Times New Roman"/>
      <w:b/>
      <w:i/>
      <w:sz w:val="26"/>
      <w:lang w:val="en-GB"/>
    </w:rPr>
  </w:style>
  <w:style w:type="character" w:styleId="6Char" w:customStyle="1">
    <w:name w:val="Επικεφαλίδα 6 Char"/>
    <w:basedOn w:val="DefaultParagraphFont"/>
    <w:qFormat/>
    <w:rPr>
      <w:rFonts w:cs="Times New Roman"/>
      <w:b/>
      <w:bCs/>
      <w:sz w:val="24"/>
      <w:szCs w:val="24"/>
      <w:u w:val="single"/>
      <w:lang w:eastAsia="ar-SA" w:bidi="ar-SA"/>
    </w:rPr>
  </w:style>
  <w:style w:type="character" w:styleId="7Char" w:customStyle="1">
    <w:name w:val="Επικεφαλίδα 7 Char"/>
    <w:basedOn w:val="DefaultParagraphFont"/>
    <w:qFormat/>
    <w:rPr>
      <w:rFonts w:cs="Times New Roman"/>
      <w:b/>
      <w:bCs/>
      <w:sz w:val="24"/>
      <w:szCs w:val="24"/>
      <w:lang w:eastAsia="ar-SA" w:bidi="ar-SA"/>
    </w:rPr>
  </w:style>
  <w:style w:type="character" w:styleId="Heading2Char" w:customStyle="1">
    <w:name w:val="Heading 2 Char"/>
    <w:basedOn w:val="DefaultParagraphFont"/>
    <w:qFormat/>
    <w:rPr>
      <w:rFonts w:ascii="Arial" w:hAnsi="Arial" w:cs="Times New Roman"/>
      <w:b/>
      <w:color w:val="002060"/>
      <w:sz w:val="22"/>
      <w:lang w:val="en-GB"/>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rFonts w:ascii="Arial" w:hAnsi="Arial"/>
      <w:sz w:val="20"/>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lang w:val="el-GR"/>
    </w:rPr>
  </w:style>
  <w:style w:type="character" w:styleId="WW8Num3z0" w:customStyle="1">
    <w:name w:val="WW8Num3z0"/>
    <w:qFormat/>
    <w:rPr>
      <w:lang w:val="el-GR"/>
    </w:rPr>
  </w:style>
  <w:style w:type="character" w:styleId="WW8Num4z0" w:customStyle="1">
    <w:name w:val="WW8Num4z0"/>
    <w:qFormat/>
    <w:rPr>
      <w:rFonts w:ascii="Webdings" w:hAnsi="Webdings"/>
      <w:color w:val="333399"/>
      <w:sz w:val="16"/>
    </w:rPr>
  </w:style>
  <w:style w:type="character" w:styleId="WW8Num5z0" w:customStyle="1">
    <w:name w:val="WW8Num5z0"/>
    <w:qFormat/>
    <w:rPr>
      <w:rFonts w:ascii="Symbol" w:hAnsi="Symbol"/>
      <w:strike/>
      <w:color w:val="0070C0"/>
      <w:kern w:val="2"/>
      <w:position w:val="0"/>
      <w:sz w:val="24"/>
      <w:sz w:val="24"/>
      <w:vertAlign w:val="baseline"/>
      <w:lang w:val="el-GR"/>
    </w:rPr>
  </w:style>
  <w:style w:type="character" w:styleId="WW8Num6z0" w:customStyle="1">
    <w:name w:val="WW8Num6z0"/>
    <w:qFormat/>
    <w:rPr>
      <w:rFonts w:ascii="Symbol" w:hAnsi="Symbol"/>
      <w:highlight w:val="lightGray"/>
      <w:lang w:val="el-GR"/>
    </w:rPr>
  </w:style>
  <w:style w:type="character" w:styleId="WW8Num7z0" w:customStyle="1">
    <w:name w:val="WW8Num7z0"/>
    <w:qFormat/>
    <w:rPr>
      <w:b/>
      <w:sz w:val="22"/>
      <w:lang w:val="el-GR"/>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b/>
      <w:sz w:val="22"/>
      <w:lang w:val="el-GR"/>
    </w:rPr>
  </w:style>
  <w:style w:type="character" w:styleId="WW8Num8z1" w:customStyle="1">
    <w:name w:val="WW8Num8z1"/>
    <w:qFormat/>
    <w:rPr>
      <w:rFonts w:eastAsia="Times New Roman"/>
      <w:lang w:val="el-GR"/>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color w:val="5B9BD5"/>
    </w:rPr>
  </w:style>
  <w:style w:type="character" w:styleId="WW8Num10z0" w:customStyle="1">
    <w:name w:val="WW8Num10z0"/>
    <w:qFormat/>
    <w:rPr>
      <w:rFonts w:ascii="Angsana New" w:hAnsi="Angsana New"/>
      <w:color w:val="000000"/>
      <w:kern w:val="2"/>
      <w:sz w:val="22"/>
      <w:highlight w:val="white"/>
      <w:lang w:val="el-GR"/>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rFonts w:ascii="Arial" w:hAnsi="Arial"/>
      <w:sz w:val="20"/>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9z1" w:customStyle="1">
    <w:name w:val="WW8Num9z1"/>
    <w:qFormat/>
    <w:rPr>
      <w:rFonts w:eastAsia="Times New Roman"/>
      <w:lang w:val="el-GR"/>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1z0" w:customStyle="1">
    <w:name w:val="WW8Num11z0"/>
    <w:qFormat/>
    <w:rPr>
      <w:rFonts w:ascii="Angsana New" w:hAnsi="Angsana New"/>
      <w:color w:val="000000"/>
      <w:kern w:val="2"/>
      <w:sz w:val="22"/>
      <w:highlight w:val="white"/>
      <w:lang w:val="el-GR"/>
    </w:rPr>
  </w:style>
  <w:style w:type="character" w:styleId="WW8Num10z1" w:customStyle="1">
    <w:name w:val="WW8Num10z1"/>
    <w:qFormat/>
    <w:rPr>
      <w:rFonts w:ascii="Courier New" w:hAnsi="Courier New"/>
    </w:rPr>
  </w:style>
  <w:style w:type="character" w:styleId="WW8Num10z3" w:customStyle="1">
    <w:name w:val="WW8Num10z3"/>
    <w:qFormat/>
    <w:rPr>
      <w:rFonts w:ascii="Symbol" w:hAnsi="Symbol"/>
    </w:rPr>
  </w:style>
  <w:style w:type="character" w:styleId="WW8Num11z1" w:customStyle="1">
    <w:name w:val="WW8Num11z1"/>
    <w:qFormat/>
    <w:rPr>
      <w:rFonts w:ascii="Courier New" w:hAnsi="Courier New"/>
    </w:rPr>
  </w:style>
  <w:style w:type="character" w:styleId="WW8Num11z3" w:customStyle="1">
    <w:name w:val="WW8Num11z3"/>
    <w:qFormat/>
    <w:rPr>
      <w:rFonts w:ascii="Symbol" w:hAnsi="Symbol"/>
    </w:rPr>
  </w:style>
  <w:style w:type="character" w:styleId="WW8Num12z0" w:customStyle="1">
    <w:name w:val="WW8Num12z0"/>
    <w:qFormat/>
    <w:rPr>
      <w:rFonts w:ascii="Angsana New" w:hAnsi="Angsana New"/>
      <w:color w:val="000000"/>
      <w:kern w:val="2"/>
      <w:sz w:val="22"/>
      <w:highlight w:val="white"/>
      <w:lang w:val="el-GR"/>
    </w:rPr>
  </w:style>
  <w:style w:type="character" w:styleId="WW8Num12z1" w:customStyle="1">
    <w:name w:val="WW8Num12z1"/>
    <w:qFormat/>
    <w:rPr>
      <w:rFonts w:ascii="Courier New" w:hAnsi="Courier New"/>
    </w:rPr>
  </w:style>
  <w:style w:type="character" w:styleId="WW8Num12z2" w:customStyle="1">
    <w:name w:val="WW8Num12z2"/>
    <w:qFormat/>
    <w:rPr>
      <w:rFonts w:ascii="Wingdings" w:hAnsi="Wingdings"/>
    </w:rPr>
  </w:style>
  <w:style w:type="character" w:styleId="WW8Num12z3" w:customStyle="1">
    <w:name w:val="WW8Num12z3"/>
    <w:qFormat/>
    <w:rPr>
      <w:rFonts w:ascii="Symbol" w:hAnsi="Symbol"/>
    </w:rPr>
  </w:style>
  <w:style w:type="character" w:styleId="11" w:customStyle="1">
    <w:name w:val="Προεπιλεγμένη γραμματοσειρά1"/>
    <w:qFormat/>
    <w:rPr/>
  </w:style>
  <w:style w:type="character" w:styleId="31" w:customStyle="1">
    <w:name w:val="Προεπιλεγμένη γραμματοσειρά3"/>
    <w:qFormat/>
    <w:rPr/>
  </w:style>
  <w:style w:type="character" w:styleId="WWDefaultParagraphFont" w:customStyle="1">
    <w:name w:val="WW-Default Paragraph Font"/>
    <w:qFormat/>
    <w:rPr/>
  </w:style>
  <w:style w:type="character" w:styleId="WW8Num10z2" w:customStyle="1">
    <w:name w:val="WW8Num10z2"/>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DefaultParagraphFont2" w:customStyle="1">
    <w:name w:val="Default Paragraph Font2"/>
    <w:qFormat/>
    <w:rPr/>
  </w:style>
  <w:style w:type="character" w:styleId="WW8Num11z2" w:customStyle="1">
    <w:name w:val="WW8Num11z2"/>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Symbol" w:hAnsi="Symbol"/>
    </w:rPr>
  </w:style>
  <w:style w:type="character" w:styleId="WWDefaultParagraphFont1" w:customStyle="1">
    <w:name w:val="WW-Default Paragraph Font1"/>
    <w:qFormat/>
    <w:rPr/>
  </w:style>
  <w:style w:type="character" w:styleId="WW8Num13z1" w:customStyle="1">
    <w:name w:val="WW8Num13z1"/>
    <w:qFormat/>
    <w:rPr>
      <w:rFonts w:eastAsia="Times New Roman"/>
      <w:lang w:val="el-GR"/>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DefaultParagraphFont11" w:customStyle="1">
    <w:name w:val="WW-Default Paragraph Font11"/>
    <w:qFormat/>
    <w:rPr/>
  </w:style>
  <w:style w:type="character" w:styleId="WWDefaultParagraphFont111" w:customStyle="1">
    <w:name w:val="WW-Default Paragraph Font111"/>
    <w:qFormat/>
    <w:rPr/>
  </w:style>
  <w:style w:type="character" w:styleId="WWDefaultParagraphFont1111" w:customStyle="1">
    <w:name w:val="WW-Default Paragraph Font1111"/>
    <w:qFormat/>
    <w:rPr/>
  </w:style>
  <w:style w:type="character" w:styleId="WWDefaultParagraphFont11111" w:customStyle="1">
    <w:name w:val="WW-Default Paragraph Font11111"/>
    <w:qFormat/>
    <w:rPr/>
  </w:style>
  <w:style w:type="character" w:styleId="WWDefaultParagraphFont111111" w:customStyle="1">
    <w:name w:val="WW-Default Paragraph Font111111"/>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rFonts w:ascii="Arial" w:hAnsi="Arial"/>
      <w:sz w:val="20"/>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DefaultParagraphFont1111111" w:customStyle="1">
    <w:name w:val="WW-Default Paragraph Font1111111"/>
    <w:qFormat/>
    <w:rPr/>
  </w:style>
  <w:style w:type="character" w:styleId="WWDefaultParagraphFont11111111" w:customStyle="1">
    <w:name w:val="WW-Default Paragraph Font11111111"/>
    <w:qFormat/>
    <w:rPr/>
  </w:style>
  <w:style w:type="character" w:styleId="WWDefaultParagraphFont111111111" w:customStyle="1">
    <w:name w:val="WW-Default Paragraph Font111111111"/>
    <w:qFormat/>
    <w:rPr/>
  </w:style>
  <w:style w:type="character" w:styleId="WWDefaultParagraphFont1111111111" w:customStyle="1">
    <w:name w:val="WW-Default Paragraph Font1111111111"/>
    <w:qFormat/>
    <w:rPr/>
  </w:style>
  <w:style w:type="character" w:styleId="21" w:customStyle="1">
    <w:name w:val="Προεπιλεγμένη γραμματοσειρά2"/>
    <w:qFormat/>
    <w:rPr/>
  </w:style>
  <w:style w:type="character" w:styleId="WW8Num19z0" w:customStyle="1">
    <w:name w:val="WW8Num19z0"/>
    <w:qFormat/>
    <w:rPr>
      <w:rFonts w:ascii="Calibri" w:hAnsi="Calibri"/>
    </w:rPr>
  </w:style>
  <w:style w:type="character" w:styleId="WW8Num19z1" w:customStyle="1">
    <w:name w:val="WW8Num19z1"/>
    <w:qFormat/>
    <w:rPr/>
  </w:style>
  <w:style w:type="character" w:styleId="WW8Num20z0" w:customStyle="1">
    <w:name w:val="WW8Num20z0"/>
    <w:qFormat/>
    <w:rPr>
      <w:rFonts w:ascii="Calibri" w:hAnsi="Calibri"/>
    </w:rPr>
  </w:style>
  <w:style w:type="character" w:styleId="WW8Num20z1" w:customStyle="1">
    <w:name w:val="WW8Num20z1"/>
    <w:qFormat/>
    <w:rPr>
      <w:rFonts w:ascii="Courier New" w:hAnsi="Courier New"/>
    </w:rPr>
  </w:style>
  <w:style w:type="character" w:styleId="WW8Num20z2" w:customStyle="1">
    <w:name w:val="WW8Num20z2"/>
    <w:qFormat/>
    <w:rPr>
      <w:rFonts w:ascii="Wingdings" w:hAnsi="Wingdings"/>
    </w:rPr>
  </w:style>
  <w:style w:type="character" w:styleId="WW8Num20z3" w:customStyle="1">
    <w:name w:val="WW8Num20z3"/>
    <w:qFormat/>
    <w:rPr>
      <w:rFonts w:ascii="Symbol" w:hAnsi="Symbol"/>
    </w:rPr>
  </w:style>
  <w:style w:type="character" w:styleId="WWDefaultParagraphFont11111111111" w:customStyle="1">
    <w:name w:val="WW-Default Paragraph Font1111111111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DefaultParagraphFont111111111111" w:customStyle="1">
    <w:name w:val="WW-Default Paragraph Font111111111111"/>
    <w:qFormat/>
    <w:rPr/>
  </w:style>
  <w:style w:type="character" w:styleId="WWDefaultParagraphFont1111111111111" w:customStyle="1">
    <w:name w:val="WW-Default Paragraph Font1111111111111"/>
    <w:qFormat/>
    <w:rPr/>
  </w:style>
  <w:style w:type="character" w:styleId="WW8Num21z0" w:customStyle="1">
    <w:name w:val="WW8Num21z0"/>
    <w:qFormat/>
    <w:rPr>
      <w:rFonts w:ascii="Calibri" w:hAnsi="Calibri"/>
    </w:rPr>
  </w:style>
  <w:style w:type="character" w:styleId="WW8Num21z1" w:customStyle="1">
    <w:name w:val="WW8Num21z1"/>
    <w:qFormat/>
    <w:rPr>
      <w:rFonts w:ascii="Courier New" w:hAnsi="Courier New"/>
    </w:rPr>
  </w:style>
  <w:style w:type="character" w:styleId="WW8Num21z2" w:customStyle="1">
    <w:name w:val="WW8Num21z2"/>
    <w:qFormat/>
    <w:rPr>
      <w:rFonts w:ascii="Wingdings" w:hAnsi="Wingdings"/>
    </w:rPr>
  </w:style>
  <w:style w:type="character" w:styleId="WW8Num21z3" w:customStyle="1">
    <w:name w:val="WW8Num21z3"/>
    <w:qFormat/>
    <w:rPr>
      <w:rFonts w:ascii="Symbol" w:hAnsi="Symbol"/>
    </w:rPr>
  </w:style>
  <w:style w:type="character" w:styleId="WW8Num22z0" w:customStyle="1">
    <w:name w:val="WW8Num22z0"/>
    <w:qFormat/>
    <w:rPr>
      <w:rFonts w:ascii="Symbol" w:hAnsi="Symbol"/>
    </w:rPr>
  </w:style>
  <w:style w:type="character" w:styleId="WW8Num22z1" w:customStyle="1">
    <w:name w:val="WW8Num22z1"/>
    <w:qFormat/>
    <w:rPr>
      <w:rFonts w:ascii="Courier New" w:hAnsi="Courier New"/>
    </w:rPr>
  </w:style>
  <w:style w:type="character" w:styleId="WW8Num22z2" w:customStyle="1">
    <w:name w:val="WW8Num22z2"/>
    <w:qFormat/>
    <w:rPr>
      <w:rFonts w:ascii="Wingdings" w:hAnsi="Wingdings"/>
    </w:rPr>
  </w:style>
  <w:style w:type="character" w:styleId="WW8Num23z0" w:customStyle="1">
    <w:name w:val="WW8Num23z0"/>
    <w:qFormat/>
    <w:rPr>
      <w:rFonts w:ascii="Calibri" w:hAnsi="Calibri"/>
    </w:rPr>
  </w:style>
  <w:style w:type="character" w:styleId="WW8Num23z1" w:customStyle="1">
    <w:name w:val="WW8Num23z1"/>
    <w:qFormat/>
    <w:rPr>
      <w:rFonts w:ascii="Courier New" w:hAnsi="Courier New"/>
    </w:rPr>
  </w:style>
  <w:style w:type="character" w:styleId="WW8Num23z2" w:customStyle="1">
    <w:name w:val="WW8Num23z2"/>
    <w:qFormat/>
    <w:rPr>
      <w:rFonts w:ascii="Wingdings" w:hAnsi="Wingdings"/>
    </w:rPr>
  </w:style>
  <w:style w:type="character" w:styleId="WW8Num23z3" w:customStyle="1">
    <w:name w:val="WW8Num23z3"/>
    <w:qFormat/>
    <w:rPr>
      <w:rFonts w:ascii="Symbol" w:hAnsi="Symbol"/>
    </w:rPr>
  </w:style>
  <w:style w:type="character" w:styleId="WW8Num24z0" w:customStyle="1">
    <w:name w:val="WW8Num24z0"/>
    <w:qFormat/>
    <w:rPr>
      <w:rFonts w:ascii="Symbol" w:hAnsi="Symbol"/>
      <w:strike/>
      <w:color w:val="0070C0"/>
      <w:position w:val="0"/>
      <w:sz w:val="24"/>
      <w:sz w:val="24"/>
      <w:vertAlign w:val="baseline"/>
      <w:lang w:val="el-GR"/>
    </w:rPr>
  </w:style>
  <w:style w:type="character" w:styleId="WW8Num24z1" w:customStyle="1">
    <w:name w:val="WW8Num24z1"/>
    <w:qFormat/>
    <w:rPr>
      <w:rFonts w:ascii="Courier New" w:hAnsi="Courier New"/>
    </w:rPr>
  </w:style>
  <w:style w:type="character" w:styleId="WW8Num24z2" w:customStyle="1">
    <w:name w:val="WW8Num24z2"/>
    <w:qFormat/>
    <w:rPr>
      <w:rFonts w:ascii="Wingdings" w:hAnsi="Wingdings"/>
    </w:rPr>
  </w:style>
  <w:style w:type="character" w:styleId="WW8Num25z0" w:customStyle="1">
    <w:name w:val="WW8Num25z0"/>
    <w:qFormat/>
    <w:rPr>
      <w:rFonts w:ascii="Symbol" w:hAnsi="Symbol"/>
    </w:rPr>
  </w:style>
  <w:style w:type="character" w:styleId="WW8Num25z1" w:customStyle="1">
    <w:name w:val="WW8Num25z1"/>
    <w:qFormat/>
    <w:rPr>
      <w:rFonts w:ascii="Courier New" w:hAnsi="Courier New"/>
    </w:rPr>
  </w:style>
  <w:style w:type="character" w:styleId="WW8Num25z2" w:customStyle="1">
    <w:name w:val="WW8Num25z2"/>
    <w:qFormat/>
    <w:rPr>
      <w:rFonts w:ascii="Wingdings" w:hAnsi="Wingdings"/>
    </w:rPr>
  </w:style>
  <w:style w:type="character" w:styleId="WW8Num26z0" w:customStyle="1">
    <w:name w:val="WW8Num26z0"/>
    <w:qFormat/>
    <w:rPr>
      <w:rFonts w:ascii="Symbol" w:hAnsi="Symbol"/>
    </w:rPr>
  </w:style>
  <w:style w:type="character" w:styleId="WW8Num26z1" w:customStyle="1">
    <w:name w:val="WW8Num26z1"/>
    <w:qFormat/>
    <w:rPr>
      <w:rFonts w:ascii="Courier New" w:hAnsi="Courier New"/>
    </w:rPr>
  </w:style>
  <w:style w:type="character" w:styleId="WW8Num26z2" w:customStyle="1">
    <w:name w:val="WW8Num26z2"/>
    <w:qFormat/>
    <w:rPr>
      <w:rFonts w:ascii="Wingdings" w:hAnsi="Wingdings"/>
    </w:rPr>
  </w:style>
  <w:style w:type="character" w:styleId="WW8Num27z0" w:customStyle="1">
    <w:name w:val="WW8Num27z0"/>
    <w:qFormat/>
    <w:rPr>
      <w:rFonts w:ascii="Calibri" w:hAnsi="Calibri"/>
    </w:rPr>
  </w:style>
  <w:style w:type="character" w:styleId="WW8Num27z1" w:customStyle="1">
    <w:name w:val="WW8Num27z1"/>
    <w:qFormat/>
    <w:rPr>
      <w:rFonts w:ascii="Courier New" w:hAnsi="Courier New"/>
    </w:rPr>
  </w:style>
  <w:style w:type="character" w:styleId="WW8Num27z2" w:customStyle="1">
    <w:name w:val="WW8Num27z2"/>
    <w:qFormat/>
    <w:rPr>
      <w:rFonts w:ascii="Wingdings" w:hAnsi="Wingdings"/>
    </w:rPr>
  </w:style>
  <w:style w:type="character" w:styleId="WW8Num27z3" w:customStyle="1">
    <w:name w:val="WW8Num27z3"/>
    <w:qFormat/>
    <w:rPr>
      <w:rFonts w:ascii="Symbol" w:hAnsi="Symbol"/>
    </w:rPr>
  </w:style>
  <w:style w:type="character" w:styleId="WW8Num28z0" w:customStyle="1">
    <w:name w:val="WW8Num28z0"/>
    <w:qFormat/>
    <w:rPr>
      <w:rFonts w:ascii="Symbol" w:hAnsi="Symbol"/>
    </w:rPr>
  </w:style>
  <w:style w:type="character" w:styleId="WW8Num28z1" w:customStyle="1">
    <w:name w:val="WW8Num28z1"/>
    <w:qFormat/>
    <w:rPr>
      <w:rFonts w:ascii="Courier New" w:hAnsi="Courier New"/>
    </w:rPr>
  </w:style>
  <w:style w:type="character" w:styleId="WW8Num28z2" w:customStyle="1">
    <w:name w:val="WW8Num28z2"/>
    <w:qFormat/>
    <w:rPr>
      <w:rFonts w:ascii="Wingdings" w:hAnsi="Wingdings"/>
    </w:rPr>
  </w:style>
  <w:style w:type="character" w:styleId="WW8Num29z0" w:customStyle="1">
    <w:name w:val="WW8Num29z0"/>
    <w:qFormat/>
    <w:rPr>
      <w:rFonts w:ascii="Calibri" w:hAnsi="Calibri"/>
    </w:rPr>
  </w:style>
  <w:style w:type="character" w:styleId="WW8Num29z1" w:customStyle="1">
    <w:name w:val="WW8Num29z1"/>
    <w:qFormat/>
    <w:rPr>
      <w:rFonts w:ascii="Courier New" w:hAnsi="Courier New"/>
    </w:rPr>
  </w:style>
  <w:style w:type="character" w:styleId="WW8Num29z2" w:customStyle="1">
    <w:name w:val="WW8Num29z2"/>
    <w:qFormat/>
    <w:rPr>
      <w:rFonts w:ascii="Wingdings" w:hAnsi="Wingdings"/>
    </w:rPr>
  </w:style>
  <w:style w:type="character" w:styleId="WW8Num29z3" w:customStyle="1">
    <w:name w:val="WW8Num29z3"/>
    <w:qFormat/>
    <w:rPr>
      <w:rFonts w:ascii="Symbol" w:hAnsi="Symbol"/>
    </w:rPr>
  </w:style>
  <w:style w:type="character" w:styleId="WW8Num30z0" w:customStyle="1">
    <w:name w:val="WW8Num30z0"/>
    <w:qFormat/>
    <w:rPr>
      <w:rFonts w:ascii="Symbol" w:hAnsi="Symbol"/>
      <w:highlight w:val="yellow"/>
    </w:rPr>
  </w:style>
  <w:style w:type="character" w:styleId="WW8Num30z1" w:customStyle="1">
    <w:name w:val="WW8Num30z1"/>
    <w:qFormat/>
    <w:rPr>
      <w:rFonts w:ascii="Courier New" w:hAnsi="Courier New"/>
    </w:rPr>
  </w:style>
  <w:style w:type="character" w:styleId="WW8Num30z2" w:customStyle="1">
    <w:name w:val="WW8Num30z2"/>
    <w:qFormat/>
    <w:rPr>
      <w:rFonts w:ascii="Wingdings" w:hAnsi="Wingdings"/>
    </w:rPr>
  </w:style>
  <w:style w:type="character" w:styleId="WW8Num31z0" w:customStyle="1">
    <w:name w:val="WW8Num31z0"/>
    <w:qFormat/>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Symbol" w:hAnsi="Symbol"/>
    </w:rPr>
  </w:style>
  <w:style w:type="character" w:styleId="WW8Num33z1" w:customStyle="1">
    <w:name w:val="WW8Num33z1"/>
    <w:qFormat/>
    <w:rPr>
      <w:rFonts w:ascii="Courier New" w:hAnsi="Courier New"/>
    </w:rPr>
  </w:style>
  <w:style w:type="character" w:styleId="WW8Num33z2" w:customStyle="1">
    <w:name w:val="WW8Num33z2"/>
    <w:qFormat/>
    <w:rPr>
      <w:rFonts w:ascii="Wingdings" w:hAnsi="Wingdings"/>
    </w:rPr>
  </w:style>
  <w:style w:type="character" w:styleId="WW8Num34z0" w:customStyle="1">
    <w:name w:val="WW8Num34z0"/>
    <w:qFormat/>
    <w:rPr>
      <w:rFonts w:ascii="Symbol" w:hAnsi="Symbol"/>
    </w:rPr>
  </w:style>
  <w:style w:type="character" w:styleId="WW8Num34z1" w:customStyle="1">
    <w:name w:val="WW8Num34z1"/>
    <w:qFormat/>
    <w:rPr>
      <w:rFonts w:ascii="Courier New" w:hAnsi="Courier New"/>
    </w:rPr>
  </w:style>
  <w:style w:type="character" w:styleId="WW8Num34z2" w:customStyle="1">
    <w:name w:val="WW8Num34z2"/>
    <w:qFormat/>
    <w:rPr>
      <w:rFonts w:ascii="Wingdings" w:hAnsi="Wingdings"/>
    </w:rPr>
  </w:style>
  <w:style w:type="character" w:styleId="WW8Num35z0" w:customStyle="1">
    <w:name w:val="WW8Num35z0"/>
    <w:qFormat/>
    <w:rPr>
      <w:rFonts w:ascii="Calibri" w:hAnsi="Calibri"/>
    </w:rPr>
  </w:style>
  <w:style w:type="character" w:styleId="WW8Num35z1" w:customStyle="1">
    <w:name w:val="WW8Num35z1"/>
    <w:qFormat/>
    <w:rPr>
      <w:rFonts w:ascii="Courier New" w:hAnsi="Courier New"/>
    </w:rPr>
  </w:style>
  <w:style w:type="character" w:styleId="WW8Num35z2" w:customStyle="1">
    <w:name w:val="WW8Num35z2"/>
    <w:qFormat/>
    <w:rPr>
      <w:rFonts w:ascii="Wingdings" w:hAnsi="Wingdings"/>
    </w:rPr>
  </w:style>
  <w:style w:type="character" w:styleId="WW8Num35z3" w:customStyle="1">
    <w:name w:val="WW8Num35z3"/>
    <w:qFormat/>
    <w:rPr>
      <w:rFonts w:ascii="Symbol" w:hAnsi="Symbol"/>
    </w:rPr>
  </w:style>
  <w:style w:type="character" w:styleId="WW8Num36z0" w:customStyle="1">
    <w:name w:val="WW8Num36z0"/>
    <w:qFormat/>
    <w:rPr>
      <w:lang w:val="el-GR"/>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rFonts w:ascii="Calibri" w:hAnsi="Calibri"/>
    </w:rPr>
  </w:style>
  <w:style w:type="character" w:styleId="WW8Num37z1" w:customStyle="1">
    <w:name w:val="WW8Num37z1"/>
    <w:qFormat/>
    <w:rPr>
      <w:rFonts w:ascii="Courier New" w:hAnsi="Courier New"/>
    </w:rPr>
  </w:style>
  <w:style w:type="character" w:styleId="WW8Num37z2" w:customStyle="1">
    <w:name w:val="WW8Num37z2"/>
    <w:qFormat/>
    <w:rPr>
      <w:rFonts w:ascii="Wingdings" w:hAnsi="Wingdings"/>
    </w:rPr>
  </w:style>
  <w:style w:type="character" w:styleId="WW8Num37z3" w:customStyle="1">
    <w:name w:val="WW8Num37z3"/>
    <w:qFormat/>
    <w:rPr>
      <w:rFonts w:ascii="Symbol" w:hAnsi="Symbol"/>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DefaultParagraphFont11111111111111" w:customStyle="1">
    <w:name w:val="WW-Default Paragraph Font11111111111111"/>
    <w:qFormat/>
    <w:rPr/>
  </w:style>
  <w:style w:type="character" w:styleId="WW8Num4z1" w:customStyle="1">
    <w:name w:val="WW8Num4z1"/>
    <w:qFormat/>
    <w:rPr/>
  </w:style>
  <w:style w:type="character" w:styleId="WW8Num5z1" w:customStyle="1">
    <w:name w:val="WW8Num5z1"/>
    <w:qFormat/>
    <w:rPr/>
  </w:style>
  <w:style w:type="character" w:styleId="WW8Num6z1" w:customStyle="1">
    <w:name w:val="WW8Num6z1"/>
    <w:qFormat/>
    <w:rPr>
      <w:rFonts w:ascii="Times New Roman" w:hAnsi="Times New Roman"/>
      <w:color w:val="000000"/>
      <w:position w:val="0"/>
      <w:sz w:val="21"/>
      <w:sz w:val="21"/>
      <w:u w:val="none"/>
      <w:vertAlign w:val="baseline"/>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3" w:customStyle="1">
    <w:name w:val="WW8Num30z3"/>
    <w:qFormat/>
    <w:rPr>
      <w:rFonts w:ascii="Symbol" w:hAnsi="Symbol"/>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9z0" w:customStyle="1">
    <w:name w:val="WW8Num39z0"/>
    <w:qFormat/>
    <w:rPr>
      <w:rFonts w:ascii="Calibri" w:hAnsi="Calibri"/>
    </w:rPr>
  </w:style>
  <w:style w:type="character" w:styleId="WW8Num39z1" w:customStyle="1">
    <w:name w:val="WW8Num39z1"/>
    <w:qFormat/>
    <w:rPr>
      <w:rFonts w:ascii="Courier New" w:hAnsi="Courier New"/>
    </w:rPr>
  </w:style>
  <w:style w:type="character" w:styleId="WW8Num39z2" w:customStyle="1">
    <w:name w:val="WW8Num39z2"/>
    <w:qFormat/>
    <w:rPr>
      <w:rFonts w:ascii="Wingdings" w:hAnsi="Wingdings"/>
    </w:rPr>
  </w:style>
  <w:style w:type="character" w:styleId="WW8Num39z3" w:customStyle="1">
    <w:name w:val="WW8Num39z3"/>
    <w:qFormat/>
    <w:rPr>
      <w:rFonts w:ascii="Symbol" w:hAnsi="Symbol"/>
    </w:rPr>
  </w:style>
  <w:style w:type="character" w:styleId="WW8Num40z0" w:customStyle="1">
    <w:name w:val="WW8Num40z0"/>
    <w:qFormat/>
    <w:rPr>
      <w:rFonts w:ascii="Symbol" w:hAnsi="Symbol"/>
    </w:rPr>
  </w:style>
  <w:style w:type="character" w:styleId="WW8Num40z1" w:customStyle="1">
    <w:name w:val="WW8Num40z1"/>
    <w:qFormat/>
    <w:rPr>
      <w:rFonts w:ascii="Courier New" w:hAnsi="Courier New"/>
    </w:rPr>
  </w:style>
  <w:style w:type="character" w:styleId="WW8Num40z2" w:customStyle="1">
    <w:name w:val="WW8Num40z2"/>
    <w:qFormat/>
    <w:rPr>
      <w:rFonts w:ascii="Wingdings" w:hAnsi="Wingdings"/>
    </w:rPr>
  </w:style>
  <w:style w:type="character" w:styleId="WW8Num41z0" w:customStyle="1">
    <w:name w:val="WW8Num41z0"/>
    <w:qFormat/>
    <w:rPr>
      <w:rFonts w:ascii="Arial" w:hAnsi="Arial"/>
      <w:b/>
      <w:sz w:val="20"/>
    </w:rPr>
  </w:style>
  <w:style w:type="character" w:styleId="WW8Num41z1" w:customStyle="1">
    <w:name w:val="WW8Num41z1"/>
    <w:qFormat/>
    <w:rPr/>
  </w:style>
  <w:style w:type="character" w:styleId="WW8Num41z2" w:customStyle="1">
    <w:name w:val="WW8Num41z2"/>
    <w:qFormat/>
    <w:rPr>
      <w:rFonts w:ascii="Arial" w:hAnsi="Arial"/>
    </w:rPr>
  </w:style>
  <w:style w:type="character" w:styleId="WW8Num41z3" w:customStyle="1">
    <w:name w:val="WW8Num41z3"/>
    <w:qFormat/>
    <w:rPr>
      <w:rFonts w:ascii="Arial" w:hAnsi="Arial"/>
      <w:sz w:val="20"/>
    </w:rPr>
  </w:style>
  <w:style w:type="character" w:styleId="DefaultParagraphFont1" w:customStyle="1">
    <w:name w:val="Default Paragraph Font1"/>
    <w:qFormat/>
    <w:rPr/>
  </w:style>
  <w:style w:type="character" w:styleId="DateChar" w:customStyle="1">
    <w:name w:val="Date Char"/>
    <w:qFormat/>
    <w:rPr>
      <w:sz w:val="24"/>
      <w:lang w:val="en-GB"/>
    </w:rPr>
  </w:style>
  <w:style w:type="character" w:styleId="FooterChar" w:customStyle="1">
    <w:name w:val="Footer Char"/>
    <w:qFormat/>
    <w:rPr>
      <w:rFonts w:eastAsia="MS Mincho"/>
      <w:sz w:val="24"/>
      <w:lang w:val="en-US" w:eastAsia="ja-JP"/>
    </w:rPr>
  </w:style>
  <w:style w:type="character" w:styleId="CommentReference1" w:customStyle="1">
    <w:name w:val="Comment Reference1"/>
    <w:qFormat/>
    <w:rPr>
      <w:sz w:val="16"/>
    </w:rPr>
  </w:style>
  <w:style w:type="character" w:styleId="Style7" w:customStyle="1">
    <w:name w:val="Σύνδεσμος διαδικτύου"/>
    <w:basedOn w:val="DefaultParagraphFont"/>
    <w:rPr>
      <w:color w:val="0000FF"/>
      <w:u w:val="single"/>
    </w:rPr>
  </w:style>
  <w:style w:type="character" w:styleId="HeaderChar" w:customStyle="1">
    <w:name w:val="Header Char"/>
    <w:qFormat/>
    <w:rPr>
      <w:sz w:val="24"/>
      <w:lang w:val="en-GB"/>
    </w:rPr>
  </w:style>
  <w:style w:type="character" w:styleId="Pagenumber">
    <w:name w:val="page number"/>
    <w:basedOn w:val="DefaultParagraphFont"/>
    <w:qFormat/>
    <w:rPr>
      <w:rFonts w:cs="Times New Roman"/>
    </w:rPr>
  </w:style>
  <w:style w:type="character" w:styleId="BalloonTextChar" w:customStyle="1">
    <w:name w:val="Balloon Text Char"/>
    <w:qFormat/>
    <w:rPr>
      <w:rFonts w:ascii="Tahoma" w:hAnsi="Tahoma"/>
      <w:sz w:val="16"/>
      <w:lang w:val="en-GB"/>
    </w:rPr>
  </w:style>
  <w:style w:type="character" w:styleId="CommentTextChar" w:customStyle="1">
    <w:name w:val="Comment Text Char"/>
    <w:qFormat/>
    <w:rPr>
      <w:lang w:val="en-GB"/>
    </w:rPr>
  </w:style>
  <w:style w:type="character" w:styleId="CommentSubjectChar" w:customStyle="1">
    <w:name w:val="Comment Subject Char"/>
    <w:qFormat/>
    <w:rPr>
      <w:b/>
      <w:lang w:val="en-GB"/>
    </w:rPr>
  </w:style>
  <w:style w:type="character" w:styleId="BodyTextChar" w:customStyle="1">
    <w:name w:val="Body Text Char"/>
    <w:qFormat/>
    <w:rPr>
      <w:sz w:val="24"/>
      <w:lang w:val="en-GB"/>
    </w:rPr>
  </w:style>
  <w:style w:type="character" w:styleId="12" w:customStyle="1">
    <w:name w:val="Κείμενο κράτησης θέσης1"/>
    <w:qFormat/>
    <w:rPr>
      <w:color w:val="808080"/>
    </w:rPr>
  </w:style>
  <w:style w:type="character" w:styleId="Style8" w:customStyle="1">
    <w:name w:val="Χαρακτήρες υποσημείωσης"/>
    <w:qFormat/>
    <w:rPr>
      <w:vertAlign w:val="superscript"/>
    </w:rPr>
  </w:style>
  <w:style w:type="character" w:styleId="FootnoteTextChar" w:customStyle="1">
    <w:name w:val="Footnote Text Char"/>
    <w:qFormat/>
    <w:rPr>
      <w:rFonts w:ascii="Calibri" w:hAnsi="Calibri"/>
    </w:rPr>
  </w:style>
  <w:style w:type="character" w:styleId="DocTitleChar" w:customStyle="1">
    <w:name w:val="Doc Title Char"/>
    <w:basedOn w:val="1Char"/>
    <w:qFormat/>
    <w:rPr>
      <w:rFonts w:ascii="Arial" w:hAnsi="Arial" w:cs="Arial"/>
      <w:b/>
      <w:bCs/>
      <w:color w:val="333399"/>
      <w:sz w:val="32"/>
      <w:szCs w:val="32"/>
      <w:lang w:val="en-US"/>
    </w:rPr>
  </w:style>
  <w:style w:type="character" w:styleId="Style1Char" w:customStyle="1">
    <w:name w:val="Style1 Char"/>
    <w:qFormat/>
    <w:rPr>
      <w:rFonts w:ascii="Calibri" w:hAnsi="Calibri"/>
      <w:b/>
      <w:color w:val="333399"/>
      <w:sz w:val="40"/>
      <w:lang w:val="en-US"/>
    </w:rPr>
  </w:style>
  <w:style w:type="character" w:styleId="ContentsChar" w:customStyle="1">
    <w:name w:val="Contents Char"/>
    <w:qFormat/>
    <w:rPr>
      <w:rFonts w:ascii="Calibri" w:hAnsi="Calibri"/>
      <w:b/>
      <w:color w:val="333399"/>
      <w:sz w:val="32"/>
      <w:lang w:val="en-US"/>
    </w:rPr>
  </w:style>
  <w:style w:type="character" w:styleId="EndnoteTextChar" w:customStyle="1">
    <w:name w:val="Endnote Text Char"/>
    <w:qFormat/>
    <w:rPr>
      <w:rFonts w:ascii="Calibri" w:hAnsi="Calibri"/>
      <w:lang w:val="en-GB"/>
    </w:rPr>
  </w:style>
  <w:style w:type="character" w:styleId="Style9" w:customStyle="1">
    <w:name w:val="Χαρακτήρες σημείωσης τέλους"/>
    <w:qFormat/>
    <w:rPr>
      <w:vertAlign w:val="superscript"/>
    </w:rPr>
  </w:style>
  <w:style w:type="character" w:styleId="FootnoteReference2" w:customStyle="1">
    <w:name w:val="Footnote Reference2"/>
    <w:qFormat/>
    <w:rPr>
      <w:vertAlign w:val="superscript"/>
    </w:rPr>
  </w:style>
  <w:style w:type="character" w:styleId="EndnoteReference1" w:customStyle="1">
    <w:name w:val="Endnote Reference1"/>
    <w:qFormat/>
    <w:rPr>
      <w:vertAlign w:val="superscript"/>
    </w:rPr>
  </w:style>
  <w:style w:type="character" w:styleId="Style10" w:customStyle="1">
    <w:name w:val="Κουκκίδες"/>
    <w:qFormat/>
    <w:rPr>
      <w:rFonts w:ascii="OpenSymbol" w:hAnsi="OpenSymbol" w:eastAsia="OpenSymbol" w:cs="OpenSymbol"/>
    </w:rPr>
  </w:style>
  <w:style w:type="character" w:styleId="Strong">
    <w:name w:val="Strong"/>
    <w:basedOn w:val="DefaultParagraphFont"/>
    <w:qFormat/>
    <w:rPr>
      <w:rFonts w:cs="Times New Roman"/>
      <w:b/>
    </w:rPr>
  </w:style>
  <w:style w:type="character" w:styleId="111" w:customStyle="1">
    <w:name w:val="Προεπιλεγμένη γραμματοσειρά11"/>
    <w:qFormat/>
    <w:rPr/>
  </w:style>
  <w:style w:type="character" w:styleId="Style11" w:customStyle="1">
    <w:name w:val="Σύμβολο υποσημείωσης"/>
    <w:qFormat/>
    <w:rPr>
      <w:vertAlign w:val="superscript"/>
    </w:rPr>
  </w:style>
  <w:style w:type="character" w:styleId="Style12" w:customStyle="1">
    <w:name w:val="Έμφαση"/>
    <w:basedOn w:val="DefaultParagraphFont"/>
    <w:qFormat/>
    <w:rPr>
      <w:rFonts w:cs="Times New Roman"/>
      <w:i/>
    </w:rPr>
  </w:style>
  <w:style w:type="character" w:styleId="Style13" w:customStyle="1">
    <w:name w:val="Χαρακτήρες αρίθμησης"/>
    <w:qFormat/>
    <w:rPr/>
  </w:style>
  <w:style w:type="character" w:styleId="NormalwithoutspacingChar" w:customStyle="1">
    <w:name w:val="normal_without_spacing Char"/>
    <w:qFormat/>
    <w:rPr>
      <w:rFonts w:ascii="Calibri" w:hAnsi="Calibri"/>
      <w:sz w:val="24"/>
    </w:rPr>
  </w:style>
  <w:style w:type="character" w:styleId="FootnoteTextChar1" w:customStyle="1">
    <w:name w:val="Footnote Text Char1"/>
    <w:qFormat/>
    <w:rPr>
      <w:rFonts w:ascii="Calibri" w:hAnsi="Calibri"/>
      <w:lang w:val="en-IE" w:eastAsia="zh-CN"/>
    </w:rPr>
  </w:style>
  <w:style w:type="character" w:styleId="FoothangingChar" w:customStyle="1">
    <w:name w:val="foot_hanging Char"/>
    <w:qFormat/>
    <w:rPr>
      <w:rFonts w:ascii="Calibri" w:hAnsi="Calibri"/>
      <w:sz w:val="18"/>
      <w:lang w:val="en-IE" w:eastAsia="zh-CN"/>
    </w:rPr>
  </w:style>
  <w:style w:type="character" w:styleId="HTMLPreformattedChar" w:customStyle="1">
    <w:name w:val="HTML Preformatted Char"/>
    <w:qFormat/>
    <w:rPr>
      <w:rFonts w:ascii="Courier New" w:hAnsi="Courier New"/>
    </w:rPr>
  </w:style>
  <w:style w:type="character" w:styleId="Appleconvertedspace" w:customStyle="1">
    <w:name w:val="apple-converted-space"/>
    <w:basedOn w:val="WWDefaultParagraphFont11111111111111"/>
    <w:qFormat/>
    <w:rPr>
      <w:rFonts w:cs="Times New Roman"/>
    </w:rPr>
  </w:style>
  <w:style w:type="character" w:styleId="BodyTextIndent3Char" w:customStyle="1">
    <w:name w:val="Body Text Indent 3 Char"/>
    <w:qFormat/>
    <w:rPr>
      <w:rFonts w:ascii="Calibri" w:hAnsi="Calibri"/>
      <w:sz w:val="16"/>
      <w:lang w:val="en-GB"/>
    </w:rPr>
  </w:style>
  <w:style w:type="character" w:styleId="WWFootnoteReference" w:customStyle="1">
    <w:name w:val="WW-Footnote Reference"/>
    <w:qFormat/>
    <w:rPr>
      <w:vertAlign w:val="superscript"/>
    </w:rPr>
  </w:style>
  <w:style w:type="character" w:styleId="WWEndnoteReference" w:customStyle="1">
    <w:name w:val="WW-Endnote Reference"/>
    <w:qFormat/>
    <w:rPr>
      <w:vertAlign w:val="superscript"/>
    </w:rPr>
  </w:style>
  <w:style w:type="character" w:styleId="FootnoteReference1" w:customStyle="1">
    <w:name w:val="Footnote Reference1"/>
    <w:qFormat/>
    <w:rPr>
      <w:vertAlign w:val="superscript"/>
    </w:rPr>
  </w:style>
  <w:style w:type="character" w:styleId="FootnoteTextChar2" w:customStyle="1">
    <w:name w:val="Footnote Text Char2"/>
    <w:qFormat/>
    <w:rPr>
      <w:rFonts w:ascii="Calibri" w:hAnsi="Calibri"/>
      <w:sz w:val="18"/>
      <w:lang w:val="en-IE" w:eastAsia="zh-CN"/>
    </w:rPr>
  </w:style>
  <w:style w:type="character" w:styleId="FoothangingChar1" w:customStyle="1">
    <w:name w:val="foot_hanging Char1"/>
    <w:qFormat/>
    <w:rPr>
      <w:rFonts w:ascii="Calibri" w:hAnsi="Calibri"/>
      <w:sz w:val="18"/>
      <w:lang w:val="en-IE" w:eastAsia="zh-CN"/>
    </w:rPr>
  </w:style>
  <w:style w:type="character" w:styleId="FootersChar" w:customStyle="1">
    <w:name w:val="footers Char"/>
    <w:basedOn w:val="FoothangingChar1"/>
    <w:qFormat/>
    <w:rPr>
      <w:rFonts w:ascii="Calibri" w:hAnsi="Calibri" w:cs="Calibri"/>
      <w:sz w:val="18"/>
      <w:szCs w:val="18"/>
      <w:lang w:val="en-IE" w:eastAsia="zh-CN"/>
    </w:rPr>
  </w:style>
  <w:style w:type="character" w:styleId="CommentTextChar1" w:customStyle="1">
    <w:name w:val="Comment Text Char1"/>
    <w:qFormat/>
    <w:rPr>
      <w:rFonts w:ascii="Calibri" w:hAnsi="Calibri"/>
      <w:lang w:val="en-GB" w:eastAsia="zh-CN"/>
    </w:rPr>
  </w:style>
  <w:style w:type="character" w:styleId="HTMLPreformattedChar1" w:customStyle="1">
    <w:name w:val="HTML Preformatted Char1"/>
    <w:qFormat/>
    <w:rPr>
      <w:rFonts w:ascii="Courier New" w:hAnsi="Courier New"/>
      <w:lang w:eastAsia="zh-CN"/>
    </w:rPr>
  </w:style>
  <w:style w:type="character" w:styleId="BodyText3Char" w:customStyle="1">
    <w:name w:val="Body Text 3 Char"/>
    <w:qFormat/>
    <w:rPr>
      <w:rFonts w:ascii="Calibri" w:hAnsi="Calibri"/>
      <w:sz w:val="16"/>
      <w:lang w:val="en-GB" w:eastAsia="zh-CN"/>
    </w:rPr>
  </w:style>
  <w:style w:type="character" w:styleId="WWFootnoteReference1" w:customStyle="1">
    <w:name w:val="WW-Footnote Reference1"/>
    <w:qFormat/>
    <w:rPr>
      <w:vertAlign w:val="superscript"/>
    </w:rPr>
  </w:style>
  <w:style w:type="character" w:styleId="WWEndnoteReference1" w:customStyle="1">
    <w:name w:val="WW-Endnote Reference1"/>
    <w:qFormat/>
    <w:rPr>
      <w:vertAlign w:val="superscript"/>
    </w:rPr>
  </w:style>
  <w:style w:type="character" w:styleId="WWFootnoteReference2" w:customStyle="1">
    <w:name w:val="WW-Footnote Reference2"/>
    <w:qFormat/>
    <w:rPr>
      <w:vertAlign w:val="superscript"/>
    </w:rPr>
  </w:style>
  <w:style w:type="character" w:styleId="WWEndnoteReference2" w:customStyle="1">
    <w:name w:val="WW-Endnote Reference2"/>
    <w:qFormat/>
    <w:rPr>
      <w:vertAlign w:val="superscript"/>
    </w:rPr>
  </w:style>
  <w:style w:type="character" w:styleId="FootnoteTextChar3" w:customStyle="1">
    <w:name w:val="Footnote Text Char3"/>
    <w:qFormat/>
    <w:rPr>
      <w:rFonts w:ascii="Calibri" w:hAnsi="Calibri"/>
      <w:sz w:val="18"/>
      <w:lang w:val="en-IE" w:eastAsia="zh-CN"/>
    </w:rPr>
  </w:style>
  <w:style w:type="character" w:styleId="FoothangingChar2" w:customStyle="1">
    <w:name w:val="foot_hanging Char2"/>
    <w:qFormat/>
    <w:rPr>
      <w:rFonts w:ascii="Calibri" w:hAnsi="Calibri"/>
      <w:sz w:val="18"/>
      <w:lang w:val="en-IE" w:eastAsia="zh-CN"/>
    </w:rPr>
  </w:style>
  <w:style w:type="character" w:styleId="FootersChar1" w:customStyle="1">
    <w:name w:val="footers Char1"/>
    <w:basedOn w:val="FoothangingChar2"/>
    <w:qFormat/>
    <w:rPr>
      <w:rFonts w:ascii="Calibri" w:hAnsi="Calibri" w:cs="Calibri"/>
      <w:sz w:val="18"/>
      <w:szCs w:val="18"/>
      <w:lang w:val="en-IE" w:eastAsia="zh-CN"/>
    </w:rPr>
  </w:style>
  <w:style w:type="character" w:styleId="FoootChar" w:customStyle="1">
    <w:name w:val="fooot Char"/>
    <w:basedOn w:val="FootersChar1"/>
    <w:qFormat/>
    <w:rPr>
      <w:rFonts w:ascii="Calibri" w:hAnsi="Calibri" w:cs="Calibri"/>
      <w:sz w:val="18"/>
      <w:szCs w:val="18"/>
      <w:lang w:val="en-IE" w:eastAsia="zh-CN"/>
    </w:rPr>
  </w:style>
  <w:style w:type="character" w:styleId="13" w:customStyle="1">
    <w:name w:val="Παραπομπή υποσημείωσης1"/>
    <w:qFormat/>
    <w:rPr>
      <w:vertAlign w:val="superscript"/>
    </w:rPr>
  </w:style>
  <w:style w:type="character" w:styleId="14" w:customStyle="1">
    <w:name w:val="Παραπομπή σημείωσης τέλους1"/>
    <w:qFormat/>
    <w:rPr>
      <w:vertAlign w:val="superscript"/>
    </w:rPr>
  </w:style>
  <w:style w:type="character" w:styleId="Char" w:customStyle="1">
    <w:name w:val="Κείμενο πλαισίου Char"/>
    <w:qFormat/>
    <w:rPr>
      <w:rFonts w:ascii="Tahoma" w:hAnsi="Tahoma"/>
      <w:sz w:val="16"/>
      <w:lang w:val="en-GB"/>
    </w:rPr>
  </w:style>
  <w:style w:type="character" w:styleId="15" w:customStyle="1">
    <w:name w:val="Παραπομπή σχολίου1"/>
    <w:qFormat/>
    <w:rPr>
      <w:sz w:val="16"/>
    </w:rPr>
  </w:style>
  <w:style w:type="character" w:styleId="Char1" w:customStyle="1">
    <w:name w:val="Σώμα κειμένου Char"/>
    <w:qFormat/>
    <w:rPr>
      <w:rFonts w:ascii="Calibri" w:hAnsi="Calibri"/>
      <w:lang w:val="en-GB"/>
    </w:rPr>
  </w:style>
  <w:style w:type="character" w:styleId="Char2" w:customStyle="1">
    <w:name w:val="Υποσέλιδο Char"/>
    <w:qFormat/>
    <w:rPr>
      <w:rFonts w:ascii="Calibri" w:hAnsi="Calibri"/>
      <w:b/>
      <w:lang w:val="en-GB"/>
    </w:rPr>
  </w:style>
  <w:style w:type="character" w:styleId="HTMLChar" w:customStyle="1">
    <w:name w:val="Προ-διαμορφωμένο HTML Char"/>
    <w:qFormat/>
    <w:rPr>
      <w:rFonts w:ascii="Courier New" w:hAnsi="Courier New"/>
    </w:rPr>
  </w:style>
  <w:style w:type="character" w:styleId="WWFootnoteReference3" w:customStyle="1">
    <w:name w:val="WW-Footnote Reference3"/>
    <w:qFormat/>
    <w:rPr>
      <w:vertAlign w:val="superscript"/>
    </w:rPr>
  </w:style>
  <w:style w:type="character" w:styleId="WWEndnoteReference3" w:customStyle="1">
    <w:name w:val="WW-Endnote Reference3"/>
    <w:qFormat/>
    <w:rPr>
      <w:vertAlign w:val="superscript"/>
    </w:rPr>
  </w:style>
  <w:style w:type="character" w:styleId="WWFootnoteReference4" w:customStyle="1">
    <w:name w:val="WW-Footnote Reference4"/>
    <w:qFormat/>
    <w:rPr>
      <w:vertAlign w:val="superscript"/>
    </w:rPr>
  </w:style>
  <w:style w:type="character" w:styleId="WWEndnoteReference4" w:customStyle="1">
    <w:name w:val="WW-Endnote Reference4"/>
    <w:qFormat/>
    <w:rPr>
      <w:vertAlign w:val="superscript"/>
    </w:rPr>
  </w:style>
  <w:style w:type="character" w:styleId="WWFootnoteReference5" w:customStyle="1">
    <w:name w:val="WW-Footnote Reference5"/>
    <w:qFormat/>
    <w:rPr>
      <w:vertAlign w:val="superscript"/>
    </w:rPr>
  </w:style>
  <w:style w:type="character" w:styleId="WWEndnoteReference5" w:customStyle="1">
    <w:name w:val="WW-Endnote Reference5"/>
    <w:qFormat/>
    <w:rPr>
      <w:vertAlign w:val="superscript"/>
    </w:rPr>
  </w:style>
  <w:style w:type="character" w:styleId="WWFootnoteReference6" w:customStyle="1">
    <w:name w:val="WW-Footnote Reference6"/>
    <w:qFormat/>
    <w:rPr>
      <w:vertAlign w:val="superscript"/>
    </w:rPr>
  </w:style>
  <w:style w:type="character" w:styleId="FollowedHyperlink">
    <w:name w:val="FollowedHyperlink"/>
    <w:basedOn w:val="DefaultParagraphFont"/>
    <w:qFormat/>
    <w:rPr>
      <w:rFonts w:cs="Times New Roman"/>
      <w:color w:val="800000"/>
      <w:u w:val="single"/>
    </w:rPr>
  </w:style>
  <w:style w:type="character" w:styleId="WWEndnoteReference6" w:customStyle="1">
    <w:name w:val="WW-Endnote Reference6"/>
    <w:qFormat/>
    <w:rPr>
      <w:vertAlign w:val="superscript"/>
    </w:rPr>
  </w:style>
  <w:style w:type="character" w:styleId="WWFootnoteReference7" w:customStyle="1">
    <w:name w:val="WW-Footnote Reference7"/>
    <w:qFormat/>
    <w:rPr>
      <w:vertAlign w:val="superscript"/>
    </w:rPr>
  </w:style>
  <w:style w:type="character" w:styleId="WWEndnoteReference7" w:customStyle="1">
    <w:name w:val="WW-Endnote Reference7"/>
    <w:qFormat/>
    <w:rPr>
      <w:vertAlign w:val="superscript"/>
    </w:rPr>
  </w:style>
  <w:style w:type="character" w:styleId="WWFootnoteReference8" w:customStyle="1">
    <w:name w:val="WW-Footnote Reference8"/>
    <w:qFormat/>
    <w:rPr>
      <w:vertAlign w:val="superscript"/>
    </w:rPr>
  </w:style>
  <w:style w:type="character" w:styleId="WWEndnoteReference8" w:customStyle="1">
    <w:name w:val="WW-Endnote Reference8"/>
    <w:qFormat/>
    <w:rPr>
      <w:vertAlign w:val="superscript"/>
    </w:rPr>
  </w:style>
  <w:style w:type="character" w:styleId="WWFootnoteReference9" w:customStyle="1">
    <w:name w:val="WW-Footnote Reference9"/>
    <w:qFormat/>
    <w:rPr>
      <w:vertAlign w:val="superscript"/>
    </w:rPr>
  </w:style>
  <w:style w:type="character" w:styleId="WWEndnoteReference9" w:customStyle="1">
    <w:name w:val="WW-Endnote Reference9"/>
    <w:qFormat/>
    <w:rPr>
      <w:vertAlign w:val="superscript"/>
    </w:rPr>
  </w:style>
  <w:style w:type="character" w:styleId="WWFootnoteReference10" w:customStyle="1">
    <w:name w:val="WW-Footnote Reference10"/>
    <w:qFormat/>
    <w:rPr>
      <w:vertAlign w:val="superscript"/>
    </w:rPr>
  </w:style>
  <w:style w:type="character" w:styleId="WWEndnoteReference10" w:customStyle="1">
    <w:name w:val="WW-Endnote Reference10"/>
    <w:qFormat/>
    <w:rPr>
      <w:vertAlign w:val="superscript"/>
    </w:rPr>
  </w:style>
  <w:style w:type="character" w:styleId="WWFootnoteReference11" w:customStyle="1">
    <w:name w:val="WW-Footnote Reference11"/>
    <w:qFormat/>
    <w:rPr>
      <w:vertAlign w:val="superscript"/>
    </w:rPr>
  </w:style>
  <w:style w:type="character" w:styleId="WWEndnoteReference11" w:customStyle="1">
    <w:name w:val="WW-Endnote Reference11"/>
    <w:qFormat/>
    <w:rPr>
      <w:vertAlign w:val="superscript"/>
    </w:rPr>
  </w:style>
  <w:style w:type="character" w:styleId="WWFootnoteReference12" w:customStyle="1">
    <w:name w:val="WW-Footnote Reference12"/>
    <w:qFormat/>
    <w:rPr>
      <w:vertAlign w:val="superscript"/>
    </w:rPr>
  </w:style>
  <w:style w:type="character" w:styleId="WWEndnoteReference12" w:customStyle="1">
    <w:name w:val="WW-Endnote Reference12"/>
    <w:qFormat/>
    <w:rPr>
      <w:vertAlign w:val="superscript"/>
    </w:rPr>
  </w:style>
  <w:style w:type="character" w:styleId="WWFootnoteReference13" w:customStyle="1">
    <w:name w:val="WW-Footnote Reference13"/>
    <w:qFormat/>
    <w:rPr>
      <w:vertAlign w:val="superscript"/>
    </w:rPr>
  </w:style>
  <w:style w:type="character" w:styleId="WWEndnoteReference13" w:customStyle="1">
    <w:name w:val="WW-Endnote Reference13"/>
    <w:qFormat/>
    <w:rPr>
      <w:vertAlign w:val="superscript"/>
    </w:rPr>
  </w:style>
  <w:style w:type="character" w:styleId="FootnoteReference3" w:customStyle="1">
    <w:name w:val="Footnote Reference3"/>
    <w:qFormat/>
    <w:rPr>
      <w:vertAlign w:val="superscript"/>
    </w:rPr>
  </w:style>
  <w:style w:type="character" w:styleId="EndnoteReference2" w:customStyle="1">
    <w:name w:val="Endnote Reference2"/>
    <w:qFormat/>
    <w:rPr>
      <w:vertAlign w:val="superscript"/>
    </w:rPr>
  </w:style>
  <w:style w:type="character" w:styleId="22" w:customStyle="1">
    <w:name w:val="Παραπομπή υποσημείωσης2"/>
    <w:qFormat/>
    <w:rPr>
      <w:vertAlign w:val="superscript"/>
    </w:rPr>
  </w:style>
  <w:style w:type="character" w:styleId="23" w:customStyle="1">
    <w:name w:val="Παραπομπή σημείωσης τέλους2"/>
    <w:qFormat/>
    <w:rPr>
      <w:vertAlign w:val="superscript"/>
    </w:rPr>
  </w:style>
  <w:style w:type="character" w:styleId="WWFootnoteReference14" w:customStyle="1">
    <w:name w:val="WW-Footnote Reference14"/>
    <w:qFormat/>
    <w:rPr>
      <w:vertAlign w:val="superscript"/>
    </w:rPr>
  </w:style>
  <w:style w:type="character" w:styleId="WWEndnoteReference14" w:customStyle="1">
    <w:name w:val="WW-Endnote Reference14"/>
    <w:qFormat/>
    <w:rPr>
      <w:vertAlign w:val="superscript"/>
    </w:rPr>
  </w:style>
  <w:style w:type="character" w:styleId="Style14" w:customStyle="1">
    <w:name w:val="Αγκίστρωση υποσημείωσης"/>
    <w:rPr>
      <w:rFonts w:cs="Times New Roman"/>
      <w:vertAlign w:val="superscript"/>
    </w:rPr>
  </w:style>
  <w:style w:type="character" w:styleId="FootnoteCharacters" w:customStyle="1">
    <w:name w:val="Footnote Characters"/>
    <w:basedOn w:val="DefaultParagraphFont"/>
    <w:qFormat/>
    <w:rPr>
      <w:rFonts w:cs="Times New Roman"/>
      <w:vertAlign w:val="superscript"/>
    </w:rPr>
  </w:style>
  <w:style w:type="character" w:styleId="Style15" w:customStyle="1">
    <w:name w:val="Αγκίστρωση σημειώσεων τέλους"/>
    <w:rPr>
      <w:rFonts w:cs="Times New Roman"/>
      <w:vertAlign w:val="superscript"/>
    </w:rPr>
  </w:style>
  <w:style w:type="character" w:styleId="EndnoteCharacters" w:customStyle="1">
    <w:name w:val="Endnote Characters"/>
    <w:basedOn w:val="DefaultParagraphFont"/>
    <w:qFormat/>
    <w:rPr>
      <w:rFonts w:cs="Times New Roman"/>
      <w:vertAlign w:val="superscript"/>
    </w:rPr>
  </w:style>
  <w:style w:type="character" w:styleId="Char3" w:customStyle="1">
    <w:name w:val="Κεφαλίδα Char"/>
    <w:basedOn w:val="DefaultParagraphFont"/>
    <w:qFormat/>
    <w:rPr>
      <w:rFonts w:ascii="Calibri" w:hAnsi="Calibri" w:cs="Calibri"/>
      <w:sz w:val="24"/>
      <w:szCs w:val="24"/>
      <w:lang w:val="en-GB" w:eastAsia="zh-CN"/>
    </w:rPr>
  </w:style>
  <w:style w:type="character" w:styleId="Char4" w:customStyle="1">
    <w:name w:val="Κείμενο υποσημείωσης Char"/>
    <w:basedOn w:val="DefaultParagraphFont"/>
    <w:qFormat/>
    <w:rPr>
      <w:rFonts w:ascii="Calibri" w:hAnsi="Calibri" w:cs="Calibri"/>
      <w:sz w:val="24"/>
      <w:szCs w:val="24"/>
      <w:lang w:val="en-GB" w:eastAsia="zh-CN"/>
    </w:rPr>
  </w:style>
  <w:style w:type="character" w:styleId="Char5" w:customStyle="1">
    <w:name w:val="Κείμενο σημείωσης τέλους Char"/>
    <w:basedOn w:val="DefaultParagraphFont"/>
    <w:qFormat/>
    <w:rPr>
      <w:rFonts w:ascii="Calibri" w:hAnsi="Calibri" w:cs="Calibri"/>
      <w:sz w:val="24"/>
      <w:szCs w:val="24"/>
      <w:lang w:val="en-GB" w:eastAsia="zh-CN"/>
    </w:rPr>
  </w:style>
  <w:style w:type="character" w:styleId="Char6" w:customStyle="1">
    <w:name w:val="Σώμα κείμενου με εσοχή Char"/>
    <w:basedOn w:val="DefaultParagraphFont"/>
    <w:qFormat/>
    <w:rPr>
      <w:rFonts w:ascii="Calibri" w:hAnsi="Calibri" w:cs="Calibri"/>
      <w:sz w:val="20"/>
      <w:szCs w:val="20"/>
      <w:lang w:val="en-GB" w:eastAsia="zh-CN"/>
    </w:rPr>
  </w:style>
  <w:style w:type="character" w:styleId="Char11" w:customStyle="1">
    <w:name w:val="Τίτλος Char1"/>
    <w:basedOn w:val="DefaultParagraphFont"/>
    <w:qFormat/>
    <w:rPr>
      <w:rFonts w:ascii="Calibri" w:hAnsi="Calibri" w:cs="Calibri"/>
      <w:sz w:val="20"/>
      <w:szCs w:val="20"/>
      <w:lang w:val="en-GB" w:eastAsia="zh-CN"/>
    </w:rPr>
  </w:style>
  <w:style w:type="character" w:styleId="Char7" w:customStyle="1">
    <w:name w:val="Τίτλος Char"/>
    <w:basedOn w:val="DefaultParagraphFont"/>
    <w:qFormat/>
    <w:rPr>
      <w:rFonts w:ascii="Calibri" w:hAnsi="Calibri" w:cs="Calibri"/>
      <w:sz w:val="24"/>
      <w:szCs w:val="24"/>
      <w:lang w:val="en-GB" w:eastAsia="zh-CN"/>
    </w:rPr>
  </w:style>
  <w:style w:type="character" w:styleId="Char12" w:customStyle="1">
    <w:name w:val="Κείμενο σχολίου Char1"/>
    <w:basedOn w:val="DefaultParagraphFont"/>
    <w:qFormat/>
    <w:rPr>
      <w:rFonts w:cs="Calibri"/>
      <w:sz w:val="2"/>
      <w:lang w:val="en-GB" w:eastAsia="zh-CN"/>
    </w:rPr>
  </w:style>
  <w:style w:type="character" w:styleId="Char21" w:customStyle="1">
    <w:name w:val="Θέμα σχολίου Char2"/>
    <w:basedOn w:val="DefaultParagraphFont"/>
    <w:qFormat/>
    <w:rPr>
      <w:rFonts w:ascii="Calibri" w:hAnsi="Calibri" w:cs="Calibri"/>
      <w:lang w:val="en-GB" w:eastAsia="zh-CN"/>
    </w:rPr>
  </w:style>
  <w:style w:type="character" w:styleId="Char13" w:customStyle="1">
    <w:name w:val="Υπότιτλος Char1"/>
    <w:basedOn w:val="Char21"/>
    <w:qFormat/>
    <w:rPr>
      <w:rFonts w:ascii="Calibri" w:hAnsi="Calibri" w:cs="Calibri"/>
      <w:b/>
      <w:bCs/>
      <w:sz w:val="20"/>
      <w:szCs w:val="20"/>
      <w:lang w:val="en-GB" w:eastAsia="zh-CN"/>
    </w:rPr>
  </w:style>
  <w:style w:type="character" w:styleId="HTMLChar1" w:customStyle="1">
    <w:name w:val="Προ-διαμορφωμένο HTML Char1"/>
    <w:basedOn w:val="DefaultParagraphFont"/>
    <w:qFormat/>
    <w:rPr>
      <w:rFonts w:ascii="Courier New" w:hAnsi="Courier New" w:cs="Courier New"/>
      <w:sz w:val="20"/>
      <w:szCs w:val="20"/>
      <w:lang w:val="en-GB" w:eastAsia="zh-CN"/>
    </w:rPr>
  </w:style>
  <w:style w:type="character" w:styleId="FontStyle12" w:customStyle="1">
    <w:name w:val="Font Style12"/>
    <w:basedOn w:val="DefaultParagraphFont"/>
    <w:qFormat/>
    <w:rPr>
      <w:rFonts w:ascii="Calibri" w:hAnsi="Calibri" w:cs="Calibri"/>
      <w:sz w:val="22"/>
      <w:szCs w:val="22"/>
    </w:rPr>
  </w:style>
  <w:style w:type="character" w:styleId="Annotationreference">
    <w:name w:val="annotation reference"/>
    <w:basedOn w:val="DefaultParagraphFont"/>
    <w:qFormat/>
    <w:rPr>
      <w:rFonts w:cs="Times New Roman"/>
      <w:sz w:val="16"/>
      <w:szCs w:val="16"/>
    </w:rPr>
  </w:style>
  <w:style w:type="character" w:styleId="2Char1" w:customStyle="1">
    <w:name w:val="ΠΠ 2 Char"/>
    <w:basedOn w:val="DefaultParagraphFont"/>
    <w:qFormat/>
    <w:rPr>
      <w:rFonts w:ascii="Calibri" w:hAnsi="Calibri" w:cs="Calibri"/>
      <w:sz w:val="24"/>
      <w:szCs w:val="24"/>
      <w:lang w:val="en-GB" w:eastAsia="zh-CN"/>
    </w:rPr>
  </w:style>
  <w:style w:type="character" w:styleId="Char22" w:customStyle="1">
    <w:name w:val="Κείμενο πλαισίου Char2"/>
    <w:basedOn w:val="DefaultParagraphFont"/>
    <w:qFormat/>
    <w:rPr>
      <w:rFonts w:cs="Times New Roman"/>
      <w:b/>
      <w:bCs/>
      <w:sz w:val="24"/>
      <w:szCs w:val="24"/>
      <w:lang w:eastAsia="ar-SA" w:bidi="ar-SA"/>
    </w:rPr>
  </w:style>
  <w:style w:type="character" w:styleId="Char14" w:customStyle="1">
    <w:name w:val="Κείμενο πλαισίου Char1"/>
    <w:basedOn w:val="DefaultParagraphFont"/>
    <w:qFormat/>
    <w:rPr>
      <w:rFonts w:ascii="Cambria" w:hAnsi="Cambria" w:cs="Times New Roman"/>
      <w:i/>
      <w:iCs/>
      <w:color w:val="4F81BD"/>
      <w:spacing w:val="15"/>
      <w:sz w:val="24"/>
      <w:szCs w:val="24"/>
      <w:lang w:val="en-GB" w:eastAsia="zh-CN"/>
    </w:rPr>
  </w:style>
  <w:style w:type="character" w:styleId="WWFootnoteReference16" w:customStyle="1">
    <w:name w:val="WW-Footnote Reference16"/>
    <w:qFormat/>
    <w:rPr>
      <w:vertAlign w:val="superscript"/>
    </w:rPr>
  </w:style>
  <w:style w:type="character" w:styleId="Char8" w:customStyle="1">
    <w:name w:val="Παράγραφος λίστας Char"/>
    <w:qFormat/>
    <w:rPr/>
  </w:style>
  <w:style w:type="character" w:styleId="Internetlink" w:customStyle="1">
    <w:name w:val="Internet link"/>
    <w:qFormat/>
    <w:rPr>
      <w:color w:val="000080"/>
      <w:u w:val="single"/>
    </w:rPr>
  </w:style>
  <w:style w:type="character" w:styleId="ListLabel1" w:customStyle="1">
    <w:name w:val="ListLabel 1"/>
    <w:qFormat/>
    <w:rPr>
      <w:rFonts w:eastAsia="Calibri" w:cs="Tahoma"/>
    </w:rPr>
  </w:style>
  <w:style w:type="character" w:styleId="ListLabel2" w:customStyle="1">
    <w:name w:val="ListLabel 2"/>
    <w:qFormat/>
    <w:rPr>
      <w:rFonts w:cs="Courier New"/>
    </w:rPr>
  </w:style>
  <w:style w:type="character" w:styleId="ListLabel3" w:customStyle="1">
    <w:name w:val="ListLabel 3"/>
    <w:qFormat/>
    <w:rPr>
      <w:color w:val="00000A"/>
    </w:rPr>
  </w:style>
  <w:style w:type="character" w:styleId="ListLabel4" w:customStyle="1">
    <w:name w:val="ListLabel 4"/>
    <w:qFormat/>
    <w:rPr>
      <w:rFonts w:cs="Courier New"/>
    </w:rPr>
  </w:style>
  <w:style w:type="character" w:styleId="ListLabel5" w:customStyle="1">
    <w:name w:val="ListLabel 5"/>
    <w:qFormat/>
    <w:rPr>
      <w:color w:val="00000A"/>
    </w:rPr>
  </w:style>
  <w:style w:type="character" w:styleId="112" w:customStyle="1">
    <w:name w:val="Σώμα κειμένου + 11 στ."/>
    <w:basedOn w:val="DefaultParagraphFont"/>
    <w:qFormat/>
    <w:rPr>
      <w:rFonts w:ascii="Georgia" w:hAnsi="Georgia" w:eastAsia="Georgia" w:cs="Georgia"/>
      <w:i w:val="false"/>
      <w:iCs w:val="false"/>
      <w:caps w:val="false"/>
      <w:smallCaps w:val="false"/>
      <w:color w:val="000000"/>
      <w:spacing w:val="0"/>
      <w:w w:val="100"/>
      <w:sz w:val="22"/>
      <w:szCs w:val="22"/>
      <w:highlight w:val="white"/>
      <w:lang w:val="el-GR"/>
    </w:rPr>
  </w:style>
  <w:style w:type="character" w:styleId="ListLabel6" w:customStyle="1">
    <w:name w:val="ListLabel 6"/>
    <w:qFormat/>
    <w:rPr>
      <w:rFonts w:cs="Times New Roman"/>
      <w:sz w:val="22"/>
    </w:rPr>
  </w:style>
  <w:style w:type="character" w:styleId="ListLabel7" w:customStyle="1">
    <w:name w:val="ListLabel 7"/>
    <w:qFormat/>
    <w:rPr>
      <w:strike/>
      <w:color w:val="0070C0"/>
      <w:kern w:val="2"/>
      <w:position w:val="0"/>
      <w:sz w:val="24"/>
      <w:sz w:val="24"/>
      <w:vertAlign w:val="baseline"/>
    </w:rPr>
  </w:style>
  <w:style w:type="character" w:styleId="ListLabel8" w:customStyle="1">
    <w:name w:val="ListLabel 8"/>
    <w:qFormat/>
    <w:rPr>
      <w:rFonts w:eastAsia="Times New Roman"/>
    </w:rPr>
  </w:style>
  <w:style w:type="character" w:styleId="ListLabel9" w:customStyle="1">
    <w:name w:val="ListLabel 9"/>
    <w:qFormat/>
    <w:rPr>
      <w:rFonts w:ascii="Arial Unicode MS" w:hAnsi="Arial Unicode M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color w:val="auto"/>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eastAsia="Times New Roman"/>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eastAsia="Times New Roman" w:cs="Times New Roman"/>
      <w:sz w:val="24"/>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sz w:val="24"/>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Tahoma"/>
    </w:rPr>
  </w:style>
  <w:style w:type="character" w:styleId="ListLabel44" w:customStyle="1">
    <w:name w:val="ListLabel 44"/>
    <w:qFormat/>
    <w:rPr>
      <w:rFonts w:cs="Times New Roman"/>
      <w:b/>
      <w:sz w:val="24"/>
      <w:szCs w:val="24"/>
    </w:rPr>
  </w:style>
  <w:style w:type="character" w:styleId="ListLabel45" w:customStyle="1">
    <w:name w:val="ListLabel 45"/>
    <w:qFormat/>
    <w:rPr>
      <w:color w:val="000000"/>
      <w:kern w:val="2"/>
      <w:sz w:val="22"/>
    </w:rPr>
  </w:style>
  <w:style w:type="character" w:styleId="ListLabel46" w:customStyle="1">
    <w:name w:val="ListLabel 46"/>
    <w:qFormat/>
    <w:rPr>
      <w:rFonts w:ascii="Calibri" w:hAnsi="Calibri" w:eastAsia="Arial Unicode MS" w:cs="Calibri"/>
      <w:szCs w:val="22"/>
    </w:rPr>
  </w:style>
  <w:style w:type="character" w:styleId="ListLabel47" w:customStyle="1">
    <w:name w:val="ListLabel 47"/>
    <w:qFormat/>
    <w:rPr>
      <w:rFonts w:ascii="Calibri" w:hAnsi="Calibri" w:eastAsia="Arial Unicode MS" w:cs="Calibri"/>
      <w:szCs w:val="22"/>
      <w:lang w:val="el-GR"/>
    </w:rPr>
  </w:style>
  <w:style w:type="character" w:styleId="ListLabel48" w:customStyle="1">
    <w:name w:val="ListLabel 48"/>
    <w:qFormat/>
    <w:rPr>
      <w:rFonts w:ascii="Calibri" w:hAnsi="Calibri" w:eastAsia="Arial Unicode MS" w:cs="Calibri"/>
      <w:szCs w:val="22"/>
      <w:lang w:val="en-US"/>
    </w:rPr>
  </w:style>
  <w:style w:type="character" w:styleId="ListLabel49" w:customStyle="1">
    <w:name w:val="ListLabel 49"/>
    <w:qFormat/>
    <w:rPr>
      <w:rFonts w:ascii="Calibri" w:hAnsi="Calibri" w:eastAsia="Arial Unicode MS" w:cs="Calibri"/>
      <w:szCs w:val="22"/>
      <w:lang w:val="el-GR"/>
    </w:rPr>
  </w:style>
  <w:style w:type="character" w:styleId="ListLabel50" w:customStyle="1">
    <w:name w:val="ListLabel 50"/>
    <w:qFormat/>
    <w:rPr>
      <w:rFonts w:ascii="Calibri" w:hAnsi="Calibri" w:eastAsia="Arial Unicode MS" w:cs="Calibri"/>
      <w:b/>
      <w:szCs w:val="22"/>
      <w:lang w:val="en-US"/>
    </w:rPr>
  </w:style>
  <w:style w:type="character" w:styleId="ListLabel51" w:customStyle="1">
    <w:name w:val="ListLabel 51"/>
    <w:qFormat/>
    <w:rPr>
      <w:rFonts w:ascii="Calibri" w:hAnsi="Calibri" w:eastAsia="Arial Unicode MS" w:cs="Calibri"/>
      <w:b/>
      <w:szCs w:val="22"/>
      <w:lang w:val="el-GR"/>
    </w:rPr>
  </w:style>
  <w:style w:type="character" w:styleId="Style16" w:customStyle="1">
    <w:name w:val="Σύνδεση ευρετηρίου"/>
    <w:qFormat/>
    <w:rPr/>
  </w:style>
  <w:style w:type="character" w:styleId="ListLabel52" w:customStyle="1">
    <w:name w:val="ListLabel 52"/>
    <w:qFormat/>
    <w:rPr>
      <w:rFonts w:ascii="Calibri" w:hAnsi="Calibri" w:cs="Times New Roman"/>
      <w:sz w:val="22"/>
    </w:rPr>
  </w:style>
  <w:style w:type="character" w:styleId="ListLabel53" w:customStyle="1">
    <w:name w:val="ListLabel 53"/>
    <w:qFormat/>
    <w:rPr>
      <w:rFonts w:ascii="Calibri" w:hAnsi="Calibri" w:cs="Symbol"/>
      <w:strike/>
      <w:color w:val="0070C0"/>
      <w:kern w:val="2"/>
      <w:position w:val="0"/>
      <w:sz w:val="24"/>
      <w:sz w:val="24"/>
      <w:vertAlign w:val="baseline"/>
    </w:rPr>
  </w:style>
  <w:style w:type="character" w:styleId="ListLabel54" w:customStyle="1">
    <w:name w:val="ListLabel 54"/>
    <w:qFormat/>
    <w:rPr>
      <w:rFonts w:ascii="Calibri" w:hAnsi="Calibri" w:cs="Calibri"/>
    </w:rPr>
  </w:style>
  <w:style w:type="character" w:styleId="ListLabel55" w:customStyle="1">
    <w:name w:val="ListLabel 55"/>
    <w:qFormat/>
    <w:rPr>
      <w:rFonts w:cs="Courier New"/>
    </w:rPr>
  </w:style>
  <w:style w:type="character" w:styleId="ListLabel56" w:customStyle="1">
    <w:name w:val="ListLabel 56"/>
    <w:qFormat/>
    <w:rPr>
      <w:rFonts w:cs="Wingdings"/>
    </w:rPr>
  </w:style>
  <w:style w:type="character" w:styleId="ListLabel57" w:customStyle="1">
    <w:name w:val="ListLabel 57"/>
    <w:qFormat/>
    <w:rPr>
      <w:rFonts w:cs="Symbol"/>
    </w:rPr>
  </w:style>
  <w:style w:type="character" w:styleId="ListLabel58" w:customStyle="1">
    <w:name w:val="ListLabel 58"/>
    <w:qFormat/>
    <w:rPr>
      <w:rFonts w:cs="Courier New"/>
    </w:rPr>
  </w:style>
  <w:style w:type="character" w:styleId="ListLabel59" w:customStyle="1">
    <w:name w:val="ListLabel 59"/>
    <w:qFormat/>
    <w:rPr>
      <w:rFonts w:cs="Wingdings"/>
    </w:rPr>
  </w:style>
  <w:style w:type="character" w:styleId="ListLabel60" w:customStyle="1">
    <w:name w:val="ListLabel 60"/>
    <w:qFormat/>
    <w:rPr>
      <w:rFonts w:cs="Symbol"/>
    </w:rPr>
  </w:style>
  <w:style w:type="character" w:styleId="ListLabel61" w:customStyle="1">
    <w:name w:val="ListLabel 61"/>
    <w:qFormat/>
    <w:rPr>
      <w:rFonts w:cs="Courier New"/>
    </w:rPr>
  </w:style>
  <w:style w:type="character" w:styleId="ListLabel62" w:customStyle="1">
    <w:name w:val="ListLabel 62"/>
    <w:qFormat/>
    <w:rPr>
      <w:rFonts w:cs="Wingdings"/>
    </w:rPr>
  </w:style>
  <w:style w:type="character" w:styleId="ListLabel63" w:customStyle="1">
    <w:name w:val="ListLabel 63"/>
    <w:qFormat/>
    <w:rPr>
      <w:rFonts w:ascii="Arial Unicode MS" w:hAnsi="Arial Unicode M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alibri" w:hAnsi="Calibri" w:cs="Wingdings"/>
      <w:color w:val="auto"/>
    </w:rPr>
  </w:style>
  <w:style w:type="character" w:styleId="ListLabel73" w:customStyle="1">
    <w:name w:val="ListLabel 73"/>
    <w:qFormat/>
    <w:rPr>
      <w:rFonts w:cs="Courier New"/>
    </w:rPr>
  </w:style>
  <w:style w:type="character" w:styleId="ListLabel74" w:customStyle="1">
    <w:name w:val="ListLabel 74"/>
    <w:qFormat/>
    <w:rPr>
      <w:rFonts w:cs="Wingdings"/>
    </w:rPr>
  </w:style>
  <w:style w:type="character" w:styleId="ListLabel75" w:customStyle="1">
    <w:name w:val="ListLabel 75"/>
    <w:qFormat/>
    <w:rPr>
      <w:rFonts w:cs="Symbol"/>
    </w:rPr>
  </w:style>
  <w:style w:type="character" w:styleId="ListLabel76" w:customStyle="1">
    <w:name w:val="ListLabel 76"/>
    <w:qFormat/>
    <w:rPr>
      <w:rFonts w:cs="Courier New"/>
    </w:rPr>
  </w:style>
  <w:style w:type="character" w:styleId="ListLabel77" w:customStyle="1">
    <w:name w:val="ListLabel 77"/>
    <w:qFormat/>
    <w:rPr>
      <w:rFonts w:cs="Wingdings"/>
    </w:rPr>
  </w:style>
  <w:style w:type="character" w:styleId="ListLabel78" w:customStyle="1">
    <w:name w:val="ListLabel 78"/>
    <w:qFormat/>
    <w:rPr>
      <w:rFonts w:cs="Symbol"/>
    </w:rPr>
  </w:style>
  <w:style w:type="character" w:styleId="ListLabel79" w:customStyle="1">
    <w:name w:val="ListLabel 79"/>
    <w:qFormat/>
    <w:rPr>
      <w:rFonts w:cs="Courier New"/>
    </w:rPr>
  </w:style>
  <w:style w:type="character" w:styleId="ListLabel80" w:customStyle="1">
    <w:name w:val="ListLabel 80"/>
    <w:qFormat/>
    <w:rPr>
      <w:rFonts w:cs="Wingdings"/>
    </w:rPr>
  </w:style>
  <w:style w:type="character" w:styleId="ListLabel81" w:customStyle="1">
    <w:name w:val="ListLabel 81"/>
    <w:qFormat/>
    <w:rPr>
      <w:rFonts w:ascii="Calibri" w:hAnsi="Calibri"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alibri" w:hAnsi="Calibri" w:cs="Calibri"/>
    </w:rPr>
  </w:style>
  <w:style w:type="character" w:styleId="ListLabel91" w:customStyle="1">
    <w:name w:val="ListLabel 91"/>
    <w:qFormat/>
    <w:rPr>
      <w:rFonts w:cs="Courier New"/>
    </w:rPr>
  </w:style>
  <w:style w:type="character" w:styleId="ListLabel92" w:customStyle="1">
    <w:name w:val="ListLabel 92"/>
    <w:qFormat/>
    <w:rPr>
      <w:rFonts w:cs="Wingdings"/>
    </w:rPr>
  </w:style>
  <w:style w:type="character" w:styleId="ListLabel93" w:customStyle="1">
    <w:name w:val="ListLabel 93"/>
    <w:qFormat/>
    <w:rPr>
      <w:rFonts w:cs="Symbol"/>
    </w:rPr>
  </w:style>
  <w:style w:type="character" w:styleId="ListLabel94" w:customStyle="1">
    <w:name w:val="ListLabel 94"/>
    <w:qFormat/>
    <w:rPr>
      <w:rFonts w:cs="Courier New"/>
    </w:rPr>
  </w:style>
  <w:style w:type="character" w:styleId="ListLabel95" w:customStyle="1">
    <w:name w:val="ListLabel 95"/>
    <w:qFormat/>
    <w:rPr>
      <w:rFonts w:cs="Wingdings"/>
    </w:rPr>
  </w:style>
  <w:style w:type="character" w:styleId="ListLabel96" w:customStyle="1">
    <w:name w:val="ListLabel 96"/>
    <w:qFormat/>
    <w:rPr>
      <w:rFonts w:cs="Symbol"/>
    </w:rPr>
  </w:style>
  <w:style w:type="character" w:styleId="ListLabel97" w:customStyle="1">
    <w:name w:val="ListLabel 97"/>
    <w:qFormat/>
    <w:rPr>
      <w:rFonts w:cs="Courier New"/>
    </w:rPr>
  </w:style>
  <w:style w:type="character" w:styleId="ListLabel98" w:customStyle="1">
    <w:name w:val="ListLabel 98"/>
    <w:qFormat/>
    <w:rPr>
      <w:rFonts w:cs="Wingdings"/>
    </w:rPr>
  </w:style>
  <w:style w:type="character" w:styleId="ListLabel99" w:customStyle="1">
    <w:name w:val="ListLabel 99"/>
    <w:qFormat/>
    <w:rPr>
      <w:rFonts w:ascii="Calibri" w:hAnsi="Calibri" w:cs="Symbol"/>
      <w:b/>
    </w:rPr>
  </w:style>
  <w:style w:type="character" w:styleId="ListLabel100" w:customStyle="1">
    <w:name w:val="ListLabel 100"/>
    <w:qFormat/>
    <w:rPr>
      <w:rFonts w:cs="Courier New"/>
    </w:rPr>
  </w:style>
  <w:style w:type="character" w:styleId="ListLabel101" w:customStyle="1">
    <w:name w:val="ListLabel 101"/>
    <w:qFormat/>
    <w:rPr>
      <w:rFonts w:cs="Wingdings"/>
    </w:rPr>
  </w:style>
  <w:style w:type="character" w:styleId="ListLabel102" w:customStyle="1">
    <w:name w:val="ListLabel 102"/>
    <w:qFormat/>
    <w:rPr>
      <w:rFonts w:cs="Symbol"/>
    </w:rPr>
  </w:style>
  <w:style w:type="character" w:styleId="ListLabel103" w:customStyle="1">
    <w:name w:val="ListLabel 103"/>
    <w:qFormat/>
    <w:rPr>
      <w:rFonts w:cs="Courier New"/>
    </w:rPr>
  </w:style>
  <w:style w:type="character" w:styleId="ListLabel104" w:customStyle="1">
    <w:name w:val="ListLabel 104"/>
    <w:qFormat/>
    <w:rPr>
      <w:rFonts w:cs="Wingdings"/>
    </w:rPr>
  </w:style>
  <w:style w:type="character" w:styleId="ListLabel105" w:customStyle="1">
    <w:name w:val="ListLabel 105"/>
    <w:qFormat/>
    <w:rPr>
      <w:rFonts w:cs="Symbol"/>
    </w:rPr>
  </w:style>
  <w:style w:type="character" w:styleId="ListLabel106" w:customStyle="1">
    <w:name w:val="ListLabel 106"/>
    <w:qFormat/>
    <w:rPr>
      <w:rFonts w:cs="Courier New"/>
    </w:rPr>
  </w:style>
  <w:style w:type="character" w:styleId="ListLabel107" w:customStyle="1">
    <w:name w:val="ListLabel 107"/>
    <w:qFormat/>
    <w:rPr>
      <w:rFonts w:cs="Wingdings"/>
    </w:rPr>
  </w:style>
  <w:style w:type="character" w:styleId="ListLabel108" w:customStyle="1">
    <w:name w:val="ListLabel 108"/>
    <w:qFormat/>
    <w:rPr>
      <w:rFonts w:eastAsia="Arial Unicode MS" w:cs="Calibri"/>
      <w:szCs w:val="22"/>
    </w:rPr>
  </w:style>
  <w:style w:type="character" w:styleId="ListLabel109" w:customStyle="1">
    <w:name w:val="ListLabel 109"/>
    <w:qFormat/>
    <w:rPr>
      <w:rFonts w:eastAsia="Arial Unicode MS" w:cs="Calibri"/>
      <w:szCs w:val="22"/>
      <w:lang w:val="el-GR"/>
    </w:rPr>
  </w:style>
  <w:style w:type="character" w:styleId="ListLabel110" w:customStyle="1">
    <w:name w:val="ListLabel 110"/>
    <w:qFormat/>
    <w:rPr>
      <w:rFonts w:eastAsia="Arial Unicode MS" w:cs="Calibri"/>
      <w:szCs w:val="22"/>
      <w:lang w:val="en-US"/>
    </w:rPr>
  </w:style>
  <w:style w:type="character" w:styleId="ListLabel111" w:customStyle="1">
    <w:name w:val="ListLabel 111"/>
    <w:qFormat/>
    <w:rPr>
      <w:rFonts w:eastAsia="Arial Unicode MS" w:cs="Calibri"/>
      <w:szCs w:val="22"/>
      <w:lang w:val="el-GR"/>
    </w:rPr>
  </w:style>
  <w:style w:type="character" w:styleId="ListLabel112" w:customStyle="1">
    <w:name w:val="ListLabel 112"/>
    <w:qFormat/>
    <w:rPr>
      <w:rFonts w:eastAsia="Arial Unicode MS" w:cs="Calibri"/>
      <w:b/>
      <w:szCs w:val="22"/>
      <w:lang w:val="en-US"/>
    </w:rPr>
  </w:style>
  <w:style w:type="character" w:styleId="ListLabel113" w:customStyle="1">
    <w:name w:val="ListLabel 113"/>
    <w:qFormat/>
    <w:rPr>
      <w:rFonts w:eastAsia="Arial Unicode MS" w:cs="Calibri"/>
      <w:b/>
      <w:szCs w:val="22"/>
      <w:lang w:val="el-GR"/>
    </w:rPr>
  </w:style>
  <w:style w:type="character" w:styleId="WW8Num5z2" w:customStyle="1">
    <w:name w:val="WW8Num5z2"/>
    <w:qFormat/>
    <w:rPr>
      <w:rFonts w:ascii="Wingdings" w:hAnsi="Wingdings" w:cs="Wingdings"/>
      <w:sz w:val="20"/>
    </w:rPr>
  </w:style>
  <w:style w:type="character" w:styleId="ListLabel114" w:customStyle="1">
    <w:name w:val="ListLabel 114"/>
    <w:qFormat/>
    <w:rPr>
      <w:rFonts w:cs="Times New Roman"/>
      <w:sz w:val="22"/>
    </w:rPr>
  </w:style>
  <w:style w:type="character" w:styleId="ListLabel115" w:customStyle="1">
    <w:name w:val="ListLabel 115"/>
    <w:qFormat/>
    <w:rPr>
      <w:rFonts w:cs="Symbol"/>
      <w:strike/>
      <w:color w:val="0070C0"/>
      <w:kern w:val="2"/>
      <w:position w:val="0"/>
      <w:sz w:val="24"/>
      <w:sz w:val="24"/>
      <w:vertAlign w:val="baseline"/>
    </w:rPr>
  </w:style>
  <w:style w:type="character" w:styleId="ListLabel116" w:customStyle="1">
    <w:name w:val="ListLabel 116"/>
    <w:qFormat/>
    <w:rPr>
      <w:rFonts w:cs="Calibri"/>
    </w:rPr>
  </w:style>
  <w:style w:type="character" w:styleId="ListLabel117" w:customStyle="1">
    <w:name w:val="ListLabel 117"/>
    <w:qFormat/>
    <w:rPr>
      <w:rFonts w:cs="Courier New"/>
    </w:rPr>
  </w:style>
  <w:style w:type="character" w:styleId="ListLabel118" w:customStyle="1">
    <w:name w:val="ListLabel 118"/>
    <w:qFormat/>
    <w:rPr>
      <w:rFonts w:cs="Wingdings"/>
    </w:rPr>
  </w:style>
  <w:style w:type="character" w:styleId="ListLabel119" w:customStyle="1">
    <w:name w:val="ListLabel 119"/>
    <w:qFormat/>
    <w:rPr>
      <w:rFonts w:cs="Symbol"/>
    </w:rPr>
  </w:style>
  <w:style w:type="character" w:styleId="ListLabel120" w:customStyle="1">
    <w:name w:val="ListLabel 120"/>
    <w:qFormat/>
    <w:rPr>
      <w:rFonts w:cs="Courier New"/>
    </w:rPr>
  </w:style>
  <w:style w:type="character" w:styleId="ListLabel121" w:customStyle="1">
    <w:name w:val="ListLabel 121"/>
    <w:qFormat/>
    <w:rPr>
      <w:rFonts w:cs="Wingdings"/>
    </w:rPr>
  </w:style>
  <w:style w:type="character" w:styleId="ListLabel122" w:customStyle="1">
    <w:name w:val="ListLabel 122"/>
    <w:qFormat/>
    <w:rPr>
      <w:rFonts w:cs="Symbol"/>
    </w:rPr>
  </w:style>
  <w:style w:type="character" w:styleId="ListLabel123" w:customStyle="1">
    <w:name w:val="ListLabel 123"/>
    <w:qFormat/>
    <w:rPr>
      <w:rFonts w:cs="Courier New"/>
    </w:rPr>
  </w:style>
  <w:style w:type="character" w:styleId="ListLabel124" w:customStyle="1">
    <w:name w:val="ListLabel 124"/>
    <w:qFormat/>
    <w:rPr>
      <w:rFonts w:cs="Wingdings"/>
    </w:rPr>
  </w:style>
  <w:style w:type="character" w:styleId="ListLabel125" w:customStyle="1">
    <w:name w:val="ListLabel 125"/>
    <w:qFormat/>
    <w:rPr>
      <w:rFonts w:ascii="Arial Unicode MS" w:hAnsi="Arial Unicode MS" w:cs="Times New Roman"/>
    </w:rPr>
  </w:style>
  <w:style w:type="character" w:styleId="ListLabel126" w:customStyle="1">
    <w:name w:val="ListLabel 126"/>
    <w:qFormat/>
    <w:rPr>
      <w:rFonts w:cs="Times New Roman"/>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Wingdings"/>
      <w:color w:val="auto"/>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cs="Symbol"/>
    </w:rPr>
  </w:style>
  <w:style w:type="character" w:styleId="ListLabel141" w:customStyle="1">
    <w:name w:val="ListLabel 141"/>
    <w:qFormat/>
    <w:rPr>
      <w:rFonts w:cs="Courier New"/>
    </w:rPr>
  </w:style>
  <w:style w:type="character" w:styleId="ListLabel142" w:customStyle="1">
    <w:name w:val="ListLabel 142"/>
    <w:qFormat/>
    <w:rPr>
      <w:rFonts w:cs="Wingdings"/>
    </w:rPr>
  </w:style>
  <w:style w:type="character" w:styleId="ListLabel143" w:customStyle="1">
    <w:name w:val="ListLabel 143"/>
    <w:qFormat/>
    <w:rPr>
      <w:rFonts w:cs="Times New Roman"/>
    </w:rPr>
  </w:style>
  <w:style w:type="character" w:styleId="ListLabel144" w:customStyle="1">
    <w:name w:val="ListLabel 144"/>
    <w:qFormat/>
    <w:rPr>
      <w:rFonts w:cs="Times New Roman"/>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Calibri"/>
    </w:rPr>
  </w:style>
  <w:style w:type="character" w:styleId="ListLabel153" w:customStyle="1">
    <w:name w:val="ListLabel 153"/>
    <w:qFormat/>
    <w:rPr>
      <w:rFonts w:cs="Courier New"/>
    </w:rPr>
  </w:style>
  <w:style w:type="character" w:styleId="ListLabel154" w:customStyle="1">
    <w:name w:val="ListLabel 154"/>
    <w:qFormat/>
    <w:rPr>
      <w:rFonts w:cs="Wingdings"/>
    </w:rPr>
  </w:style>
  <w:style w:type="character" w:styleId="ListLabel155" w:customStyle="1">
    <w:name w:val="ListLabel 155"/>
    <w:qFormat/>
    <w:rPr>
      <w:rFonts w:cs="Symbol"/>
    </w:rPr>
  </w:style>
  <w:style w:type="character" w:styleId="ListLabel156" w:customStyle="1">
    <w:name w:val="ListLabel 156"/>
    <w:qFormat/>
    <w:rPr>
      <w:rFonts w:cs="Courier New"/>
    </w:rPr>
  </w:style>
  <w:style w:type="character" w:styleId="ListLabel157" w:customStyle="1">
    <w:name w:val="ListLabel 157"/>
    <w:qFormat/>
    <w:rPr>
      <w:rFonts w:cs="Wingdings"/>
    </w:rPr>
  </w:style>
  <w:style w:type="character" w:styleId="ListLabel158" w:customStyle="1">
    <w:name w:val="ListLabel 158"/>
    <w:qFormat/>
    <w:rPr>
      <w:rFonts w:cs="Symbol"/>
    </w:rPr>
  </w:style>
  <w:style w:type="character" w:styleId="ListLabel159" w:customStyle="1">
    <w:name w:val="ListLabel 159"/>
    <w:qFormat/>
    <w:rPr>
      <w:rFonts w:cs="Courier New"/>
    </w:rPr>
  </w:style>
  <w:style w:type="character" w:styleId="ListLabel160" w:customStyle="1">
    <w:name w:val="ListLabel 160"/>
    <w:qFormat/>
    <w:rPr>
      <w:rFonts w:cs="Wingdings"/>
    </w:rPr>
  </w:style>
  <w:style w:type="character" w:styleId="ListLabel161" w:customStyle="1">
    <w:name w:val="ListLabel 161"/>
    <w:qFormat/>
    <w:rPr>
      <w:rFonts w:cs="Symbol"/>
      <w:b/>
    </w:rPr>
  </w:style>
  <w:style w:type="character" w:styleId="ListLabel162" w:customStyle="1">
    <w:name w:val="ListLabel 162"/>
    <w:qFormat/>
    <w:rPr>
      <w:rFonts w:cs="Courier New"/>
    </w:rPr>
  </w:style>
  <w:style w:type="character" w:styleId="ListLabel163" w:customStyle="1">
    <w:name w:val="ListLabel 163"/>
    <w:qFormat/>
    <w:rPr>
      <w:rFonts w:cs="Wingdings"/>
    </w:rPr>
  </w:style>
  <w:style w:type="character" w:styleId="ListLabel164" w:customStyle="1">
    <w:name w:val="ListLabel 164"/>
    <w:qFormat/>
    <w:rPr>
      <w:rFonts w:cs="Symbol"/>
    </w:rPr>
  </w:style>
  <w:style w:type="character" w:styleId="ListLabel165" w:customStyle="1">
    <w:name w:val="ListLabel 165"/>
    <w:qFormat/>
    <w:rPr>
      <w:rFonts w:cs="Courier New"/>
    </w:rPr>
  </w:style>
  <w:style w:type="character" w:styleId="ListLabel166" w:customStyle="1">
    <w:name w:val="ListLabel 166"/>
    <w:qFormat/>
    <w:rPr>
      <w:rFonts w:cs="Wingdings"/>
    </w:rPr>
  </w:style>
  <w:style w:type="character" w:styleId="ListLabel167" w:customStyle="1">
    <w:name w:val="ListLabel 167"/>
    <w:qFormat/>
    <w:rPr>
      <w:rFonts w:cs="Symbol"/>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strike/>
      <w:color w:val="0070C0"/>
      <w:kern w:val="2"/>
      <w:position w:val="0"/>
      <w:sz w:val="24"/>
      <w:sz w:val="24"/>
      <w:vertAlign w:val="baseline"/>
      <w:lang w:val="el-GR"/>
    </w:rPr>
  </w:style>
  <w:style w:type="character" w:styleId="ListLabel171" w:customStyle="1">
    <w:name w:val="ListLabel 171"/>
    <w:qFormat/>
    <w:rPr>
      <w:rFonts w:cs="Courier New"/>
    </w:rPr>
  </w:style>
  <w:style w:type="character" w:styleId="ListLabel172" w:customStyle="1">
    <w:name w:val="ListLabel 172"/>
    <w:qFormat/>
    <w:rPr>
      <w:rFonts w:cs="Wingdings"/>
      <w:sz w:val="20"/>
    </w:rPr>
  </w:style>
  <w:style w:type="character" w:styleId="ListLabel173" w:customStyle="1">
    <w:name w:val="ListLabel 173"/>
    <w:qFormat/>
    <w:rPr>
      <w:rFonts w:cs="Wingdings"/>
      <w:sz w:val="20"/>
    </w:rPr>
  </w:style>
  <w:style w:type="character" w:styleId="ListLabel174" w:customStyle="1">
    <w:name w:val="ListLabel 174"/>
    <w:qFormat/>
    <w:rPr>
      <w:rFonts w:cs="Wingdings"/>
      <w:sz w:val="20"/>
    </w:rPr>
  </w:style>
  <w:style w:type="character" w:styleId="ListLabel175" w:customStyle="1">
    <w:name w:val="ListLabel 175"/>
    <w:qFormat/>
    <w:rPr>
      <w:rFonts w:cs="Wingdings"/>
      <w:sz w:val="20"/>
    </w:rPr>
  </w:style>
  <w:style w:type="character" w:styleId="ListLabel176" w:customStyle="1">
    <w:name w:val="ListLabel 176"/>
    <w:qFormat/>
    <w:rPr>
      <w:rFonts w:cs="Wingdings"/>
      <w:sz w:val="20"/>
    </w:rPr>
  </w:style>
  <w:style w:type="character" w:styleId="ListLabel177" w:customStyle="1">
    <w:name w:val="ListLabel 177"/>
    <w:qFormat/>
    <w:rPr>
      <w:rFonts w:cs="Wingdings"/>
      <w:sz w:val="20"/>
    </w:rPr>
  </w:style>
  <w:style w:type="character" w:styleId="ListLabel178" w:customStyle="1">
    <w:name w:val="ListLabel 178"/>
    <w:qFormat/>
    <w:rPr>
      <w:rFonts w:cs="Wingdings"/>
      <w:sz w:val="20"/>
    </w:rPr>
  </w:style>
  <w:style w:type="character" w:styleId="ListLabel179" w:customStyle="1">
    <w:name w:val="ListLabel 179"/>
    <w:qFormat/>
    <w:rPr>
      <w:b/>
      <w:bCs/>
    </w:rPr>
  </w:style>
  <w:style w:type="character" w:styleId="ListLabel180" w:customStyle="1">
    <w:name w:val="ListLabel 180"/>
    <w:qFormat/>
    <w:rPr>
      <w:rFonts w:cs="Wingdings"/>
      <w:b/>
      <w:sz w:val="22"/>
    </w:rPr>
  </w:style>
  <w:style w:type="character" w:styleId="ListLabel181" w:customStyle="1">
    <w:name w:val="ListLabel 181"/>
    <w:qFormat/>
    <w:rPr>
      <w:rFonts w:cs="Courier New"/>
    </w:rPr>
  </w:style>
  <w:style w:type="character" w:styleId="ListLabel182" w:customStyle="1">
    <w:name w:val="ListLabel 182"/>
    <w:qFormat/>
    <w:rPr>
      <w:rFonts w:cs="Wingdings"/>
    </w:rPr>
  </w:style>
  <w:style w:type="character" w:styleId="ListLabel183" w:customStyle="1">
    <w:name w:val="ListLabel 183"/>
    <w:qFormat/>
    <w:rPr>
      <w:rFonts w:cs="Symbol"/>
    </w:rPr>
  </w:style>
  <w:style w:type="character" w:styleId="ListLabel184" w:customStyle="1">
    <w:name w:val="ListLabel 184"/>
    <w:qFormat/>
    <w:rPr>
      <w:rFonts w:cs="Courier New"/>
    </w:rPr>
  </w:style>
  <w:style w:type="character" w:styleId="ListLabel185" w:customStyle="1">
    <w:name w:val="ListLabel 185"/>
    <w:qFormat/>
    <w:rPr>
      <w:rFonts w:cs="Wingdings"/>
    </w:rPr>
  </w:style>
  <w:style w:type="character" w:styleId="ListLabel186" w:customStyle="1">
    <w:name w:val="ListLabel 186"/>
    <w:qFormat/>
    <w:rPr>
      <w:rFonts w:cs="Symbol"/>
    </w:rPr>
  </w:style>
  <w:style w:type="character" w:styleId="ListLabel187" w:customStyle="1">
    <w:name w:val="ListLabel 187"/>
    <w:qFormat/>
    <w:rPr>
      <w:rFonts w:cs="Courier New"/>
    </w:rPr>
  </w:style>
  <w:style w:type="character" w:styleId="ListLabel188" w:customStyle="1">
    <w:name w:val="ListLabel 188"/>
    <w:qFormat/>
    <w:rPr>
      <w:rFonts w:cs="Wingdings"/>
    </w:rPr>
  </w:style>
  <w:style w:type="character" w:styleId="ListLabel189" w:customStyle="1">
    <w:name w:val="ListLabel 189"/>
    <w:qFormat/>
    <w:rPr>
      <w:rFonts w:eastAsia="Arial Unicode MS" w:cs="Calibri"/>
      <w:szCs w:val="22"/>
      <w:lang w:val="en-US"/>
    </w:rPr>
  </w:style>
  <w:style w:type="character" w:styleId="ListLabel190" w:customStyle="1">
    <w:name w:val="ListLabel 190"/>
    <w:qFormat/>
    <w:rPr/>
  </w:style>
  <w:style w:type="character" w:styleId="ListLabel191" w:customStyle="1">
    <w:name w:val="ListLabel 191"/>
    <w:qFormat/>
    <w:rPr>
      <w:rFonts w:eastAsia="Arial Unicode MS" w:cs="Calibri"/>
      <w:szCs w:val="22"/>
    </w:rPr>
  </w:style>
  <w:style w:type="character" w:styleId="ListLabel192" w:customStyle="1">
    <w:name w:val="ListLabel 192"/>
    <w:qFormat/>
    <w:rPr>
      <w:rFonts w:eastAsia="Arial Unicode MS" w:cs="Calibri"/>
      <w:szCs w:val="22"/>
      <w:lang w:val="el-GR"/>
    </w:rPr>
  </w:style>
  <w:style w:type="character" w:styleId="ListLabel193" w:customStyle="1">
    <w:name w:val="ListLabel 193"/>
    <w:qFormat/>
    <w:rPr>
      <w:rFonts w:eastAsia="Arial Unicode MS" w:cs="Calibri"/>
      <w:szCs w:val="22"/>
      <w:lang w:val="en-US"/>
    </w:rPr>
  </w:style>
  <w:style w:type="character" w:styleId="ListLabel194" w:customStyle="1">
    <w:name w:val="ListLabel 194"/>
    <w:qFormat/>
    <w:rPr>
      <w:rFonts w:eastAsia="Arial Unicode MS" w:cs="Calibri"/>
      <w:b/>
      <w:szCs w:val="22"/>
      <w:lang w:val="en-US"/>
    </w:rPr>
  </w:style>
  <w:style w:type="character" w:styleId="ListLabel195" w:customStyle="1">
    <w:name w:val="ListLabel 195"/>
    <w:qFormat/>
    <w:rPr>
      <w:rFonts w:eastAsia="Arial Unicode MS" w:cs="Calibri"/>
      <w:b/>
      <w:szCs w:val="22"/>
      <w:lang w:val="el-GR"/>
    </w:rPr>
  </w:style>
  <w:style w:type="character" w:styleId="ListLabel2301" w:customStyle="1">
    <w:name w:val="ListLabel 2301"/>
    <w:qFormat/>
    <w:rPr>
      <w:rFonts w:cs="Calibri"/>
    </w:rPr>
  </w:style>
  <w:style w:type="character" w:styleId="ListLabel2302" w:customStyle="1">
    <w:name w:val="ListLabel 2302"/>
    <w:qFormat/>
    <w:rPr>
      <w:rFonts w:cs="Calibri"/>
      <w:lang w:val="el-GR"/>
    </w:rPr>
  </w:style>
  <w:style w:type="character" w:styleId="ListLabel2303" w:customStyle="1">
    <w:name w:val="ListLabel 2303"/>
    <w:qFormat/>
    <w:rPr>
      <w:rFonts w:eastAsia="Arial Unicode MS" w:cs="Calibri"/>
      <w:bCs/>
      <w:szCs w:val="22"/>
      <w:lang w:val="en-US"/>
    </w:rPr>
  </w:style>
  <w:style w:type="character" w:styleId="ListLabel2304" w:customStyle="1">
    <w:name w:val="ListLabel 2304"/>
    <w:qFormat/>
    <w:rPr>
      <w:rFonts w:eastAsia="Arial Unicode MS" w:cs="Calibri"/>
      <w:bCs/>
      <w:szCs w:val="22"/>
      <w:lang w:val="el-GR"/>
    </w:rPr>
  </w:style>
  <w:style w:type="character" w:styleId="ListLabel2305" w:customStyle="1">
    <w:name w:val="ListLabel 2305"/>
    <w:qFormat/>
    <w:rPr>
      <w:rFonts w:cs="Tahoma"/>
      <w:i/>
      <w:iCs/>
      <w:color w:val="auto"/>
      <w:sz w:val="22"/>
      <w:szCs w:val="22"/>
    </w:rPr>
  </w:style>
  <w:style w:type="character" w:styleId="ListLabel2307" w:customStyle="1">
    <w:name w:val="ListLabel 2307"/>
    <w:qFormat/>
    <w:rPr>
      <w:rFonts w:ascii="Calibri" w:hAnsi="Calibri" w:cs="Calibri"/>
      <w:sz w:val="22"/>
      <w:szCs w:val="22"/>
    </w:rPr>
  </w:style>
  <w:style w:type="character" w:styleId="ListLabel2308" w:customStyle="1">
    <w:name w:val="ListLabel 2308"/>
    <w:qFormat/>
    <w:rPr>
      <w:rFonts w:eastAsia="Arial Unicode MS" w:cs="Calibri"/>
    </w:rPr>
  </w:style>
  <w:style w:type="character" w:styleId="ListLabel2310" w:customStyle="1">
    <w:name w:val="ListLabel 2310"/>
    <w:qFormat/>
    <w:rPr>
      <w:rFonts w:eastAsia="Tahoma"/>
      <w:sz w:val="22"/>
      <w:lang w:eastAsia="el-GR"/>
    </w:rPr>
  </w:style>
  <w:style w:type="character" w:styleId="ListLabel2309" w:customStyle="1">
    <w:name w:val="ListLabel 2309"/>
    <w:qFormat/>
    <w:rPr>
      <w:rFonts w:eastAsia="Tahoma"/>
      <w:sz w:val="22"/>
      <w:lang w:eastAsia="en-US"/>
    </w:rPr>
  </w:style>
  <w:style w:type="character" w:styleId="ListLabel2306" w:customStyle="1">
    <w:name w:val="ListLabel 2306"/>
    <w:qFormat/>
    <w:rPr>
      <w:rFonts w:eastAsia="Tahoma"/>
      <w:color w:val="auto"/>
      <w:sz w:val="22"/>
      <w:lang w:eastAsia="el-GR"/>
    </w:rPr>
  </w:style>
  <w:style w:type="character" w:styleId="ListLabel2300" w:customStyle="1">
    <w:name w:val="ListLabel 2300"/>
    <w:qFormat/>
    <w:rPr>
      <w:rFonts w:eastAsia="Calibri"/>
      <w:b/>
      <w:color w:val="0000FF"/>
      <w:sz w:val="22"/>
      <w:u w:val="single"/>
      <w:lang w:eastAsia="el-GR"/>
    </w:rPr>
  </w:style>
  <w:style w:type="character" w:styleId="ListLabel2299" w:customStyle="1">
    <w:name w:val="ListLabel 2299"/>
    <w:qFormat/>
    <w:rPr>
      <w:rFonts w:eastAsia="Calibri"/>
      <w:b/>
      <w:sz w:val="22"/>
      <w:lang w:eastAsia="en-US"/>
    </w:rPr>
  </w:style>
  <w:style w:type="character" w:styleId="ListLabel2298" w:customStyle="1">
    <w:name w:val="ListLabel 2298"/>
    <w:qFormat/>
    <w:rPr>
      <w:rFonts w:eastAsia="Calibri"/>
      <w:b/>
      <w:sz w:val="22"/>
    </w:rPr>
  </w:style>
  <w:style w:type="character" w:styleId="ListLabel2297" w:customStyle="1">
    <w:name w:val="ListLabel 2297"/>
    <w:qFormat/>
    <w:rPr>
      <w:rFonts w:eastAsia="Calibri"/>
      <w:b/>
      <w:sz w:val="22"/>
      <w:lang w:eastAsia="el-GR"/>
    </w:rPr>
  </w:style>
  <w:style w:type="character" w:styleId="ListLabel2296" w:customStyle="1">
    <w:name w:val="ListLabel 2296"/>
    <w:qFormat/>
    <w:rPr>
      <w:rFonts w:eastAsia="Calibri"/>
      <w:b/>
      <w:sz w:val="22"/>
      <w:lang w:eastAsia="el-GR"/>
    </w:rPr>
  </w:style>
  <w:style w:type="character" w:styleId="ListLabel2295" w:customStyle="1">
    <w:name w:val="ListLabel 2295"/>
    <w:qFormat/>
    <w:rPr>
      <w:rFonts w:eastAsia="Calibri"/>
      <w:b/>
      <w:sz w:val="22"/>
      <w:lang w:eastAsia="el-GR"/>
    </w:rPr>
  </w:style>
  <w:style w:type="character" w:styleId="ListLabel2294" w:customStyle="1">
    <w:name w:val="ListLabel 2294"/>
    <w:qFormat/>
    <w:rPr>
      <w:rFonts w:eastAsia="Calibri"/>
      <w:b/>
      <w:sz w:val="22"/>
      <w:lang w:eastAsia="el-GR"/>
    </w:rPr>
  </w:style>
  <w:style w:type="character" w:styleId="ListLabel2293" w:customStyle="1">
    <w:name w:val="ListLabel 2293"/>
    <w:qFormat/>
    <w:rPr>
      <w:rFonts w:eastAsia="Calibri"/>
      <w:color w:val="0000FF"/>
      <w:sz w:val="22"/>
      <w:u w:val="single"/>
      <w:lang w:eastAsia="el-GR"/>
    </w:rPr>
  </w:style>
  <w:style w:type="character" w:styleId="ListLabel2292" w:customStyle="1">
    <w:name w:val="ListLabel 2292"/>
    <w:qFormat/>
    <w:rPr>
      <w:rFonts w:eastAsia="Calibri"/>
      <w:sz w:val="22"/>
    </w:rPr>
  </w:style>
  <w:style w:type="character" w:styleId="ListLabel2291" w:customStyle="1">
    <w:name w:val="ListLabel 2291"/>
    <w:qFormat/>
    <w:rPr>
      <w:rFonts w:eastAsia="Calibri"/>
      <w:sz w:val="22"/>
      <w:lang w:eastAsia="en-US"/>
    </w:rPr>
  </w:style>
  <w:style w:type="character" w:styleId="ListLabel2290" w:customStyle="1">
    <w:name w:val="ListLabel 2290"/>
    <w:qFormat/>
    <w:rPr>
      <w:rFonts w:eastAsia="Symbol"/>
    </w:rPr>
  </w:style>
  <w:style w:type="character" w:styleId="ListLabel2289" w:customStyle="1">
    <w:name w:val="ListLabel 2289"/>
    <w:qFormat/>
    <w:rPr>
      <w:rFonts w:eastAsia="Symbol"/>
    </w:rPr>
  </w:style>
  <w:style w:type="character" w:styleId="ListLabel2288" w:customStyle="1">
    <w:name w:val="ListLabel 2288"/>
    <w:qFormat/>
    <w:rPr>
      <w:rFonts w:eastAsia="Symbol"/>
    </w:rPr>
  </w:style>
  <w:style w:type="character" w:styleId="ListLabel2287" w:customStyle="1">
    <w:name w:val="ListLabel 2287"/>
    <w:qFormat/>
    <w:rPr>
      <w:rFonts w:eastAsia="Symbol"/>
    </w:rPr>
  </w:style>
  <w:style w:type="character" w:styleId="ListLabel2286" w:customStyle="1">
    <w:name w:val="ListLabel 2286"/>
    <w:qFormat/>
    <w:rPr>
      <w:rFonts w:eastAsia="Symbol"/>
    </w:rPr>
  </w:style>
  <w:style w:type="character" w:styleId="ListLabel2285" w:customStyle="1">
    <w:name w:val="ListLabel 2285"/>
    <w:qFormat/>
    <w:rPr>
      <w:rFonts w:eastAsia="Symbol"/>
    </w:rPr>
  </w:style>
  <w:style w:type="character" w:styleId="ListLabel2284" w:customStyle="1">
    <w:name w:val="ListLabel 2284"/>
    <w:qFormat/>
    <w:rPr>
      <w:rFonts w:eastAsia="Symbol"/>
    </w:rPr>
  </w:style>
  <w:style w:type="character" w:styleId="ListLabel2283" w:customStyle="1">
    <w:name w:val="ListLabel 2283"/>
    <w:qFormat/>
    <w:rPr>
      <w:rFonts w:eastAsia="Symbol"/>
    </w:rPr>
  </w:style>
  <w:style w:type="character" w:styleId="ListLabel2282" w:customStyle="1">
    <w:name w:val="ListLabel 2282"/>
    <w:qFormat/>
    <w:rPr>
      <w:rFonts w:eastAsia="Symbol"/>
    </w:rPr>
  </w:style>
  <w:style w:type="character" w:styleId="ListLabel2281" w:customStyle="1">
    <w:name w:val="ListLabel 2281"/>
    <w:qFormat/>
    <w:rPr>
      <w:rFonts w:eastAsia="Wingdings"/>
    </w:rPr>
  </w:style>
  <w:style w:type="character" w:styleId="ListLabel2280" w:customStyle="1">
    <w:name w:val="ListLabel 2280"/>
    <w:qFormat/>
    <w:rPr>
      <w:rFonts w:eastAsia="Courier New"/>
    </w:rPr>
  </w:style>
  <w:style w:type="character" w:styleId="ListLabel2279" w:customStyle="1">
    <w:name w:val="ListLabel 2279"/>
    <w:qFormat/>
    <w:rPr>
      <w:rFonts w:eastAsia="Symbol"/>
    </w:rPr>
  </w:style>
  <w:style w:type="character" w:styleId="ListLabel2278" w:customStyle="1">
    <w:name w:val="ListLabel 2278"/>
    <w:qFormat/>
    <w:rPr>
      <w:rFonts w:eastAsia="Wingdings"/>
    </w:rPr>
  </w:style>
  <w:style w:type="character" w:styleId="ListLabel2277" w:customStyle="1">
    <w:name w:val="ListLabel 2277"/>
    <w:qFormat/>
    <w:rPr>
      <w:rFonts w:eastAsia="Courier New"/>
    </w:rPr>
  </w:style>
  <w:style w:type="character" w:styleId="ListLabel2276" w:customStyle="1">
    <w:name w:val="ListLabel 2276"/>
    <w:qFormat/>
    <w:rPr>
      <w:rFonts w:eastAsia="Symbol"/>
    </w:rPr>
  </w:style>
  <w:style w:type="character" w:styleId="ListLabel2275" w:customStyle="1">
    <w:name w:val="ListLabel 2275"/>
    <w:qFormat/>
    <w:rPr>
      <w:rFonts w:eastAsia="Wingdings"/>
    </w:rPr>
  </w:style>
  <w:style w:type="character" w:styleId="ListLabel2274" w:customStyle="1">
    <w:name w:val="ListLabel 2274"/>
    <w:qFormat/>
    <w:rPr>
      <w:rFonts w:eastAsia="Courier New"/>
    </w:rPr>
  </w:style>
  <w:style w:type="character" w:styleId="ListLabel2273" w:customStyle="1">
    <w:name w:val="ListLabel 2273"/>
    <w:qFormat/>
    <w:rPr>
      <w:rFonts w:ascii="Calibri" w:hAnsi="Calibri" w:eastAsia="Wingdings"/>
      <w:b/>
      <w:sz w:val="22"/>
    </w:rPr>
  </w:style>
  <w:style w:type="character" w:styleId="ListLabel2272" w:customStyle="1">
    <w:name w:val="ListLabel 2272"/>
    <w:qFormat/>
    <w:rPr>
      <w:rFonts w:eastAsia="Wingdings"/>
    </w:rPr>
  </w:style>
  <w:style w:type="character" w:styleId="ListLabel2271" w:customStyle="1">
    <w:name w:val="ListLabel 2271"/>
    <w:qFormat/>
    <w:rPr>
      <w:rFonts w:eastAsia="Courier New"/>
    </w:rPr>
  </w:style>
  <w:style w:type="character" w:styleId="ListLabel2270" w:customStyle="1">
    <w:name w:val="ListLabel 2270"/>
    <w:qFormat/>
    <w:rPr>
      <w:rFonts w:eastAsia="Symbol"/>
    </w:rPr>
  </w:style>
  <w:style w:type="character" w:styleId="ListLabel2269" w:customStyle="1">
    <w:name w:val="ListLabel 2269"/>
    <w:qFormat/>
    <w:rPr>
      <w:rFonts w:eastAsia="Wingdings"/>
    </w:rPr>
  </w:style>
  <w:style w:type="character" w:styleId="ListLabel2268" w:customStyle="1">
    <w:name w:val="ListLabel 2268"/>
    <w:qFormat/>
    <w:rPr>
      <w:rFonts w:eastAsia="Courier New"/>
    </w:rPr>
  </w:style>
  <w:style w:type="character" w:styleId="ListLabel2267" w:customStyle="1">
    <w:name w:val="ListLabel 2267"/>
    <w:qFormat/>
    <w:rPr>
      <w:rFonts w:eastAsia="Symbol"/>
    </w:rPr>
  </w:style>
  <w:style w:type="character" w:styleId="ListLabel2266" w:customStyle="1">
    <w:name w:val="ListLabel 2266"/>
    <w:qFormat/>
    <w:rPr>
      <w:rFonts w:eastAsia="Wingdings"/>
    </w:rPr>
  </w:style>
  <w:style w:type="character" w:styleId="ListLabel2265" w:customStyle="1">
    <w:name w:val="ListLabel 2265"/>
    <w:qFormat/>
    <w:rPr>
      <w:rFonts w:eastAsia="Courier New"/>
    </w:rPr>
  </w:style>
  <w:style w:type="character" w:styleId="ListLabel2264" w:customStyle="1">
    <w:name w:val="ListLabel 2264"/>
    <w:qFormat/>
    <w:rPr>
      <w:rFonts w:eastAsia="Wingdings"/>
    </w:rPr>
  </w:style>
  <w:style w:type="character" w:styleId="ListLabel2263" w:customStyle="1">
    <w:name w:val="ListLabel 2263"/>
    <w:qFormat/>
    <w:rPr>
      <w:rFonts w:eastAsia="Calibri"/>
      <w:b w:val="false"/>
      <w:i/>
      <w:sz w:val="22"/>
    </w:rPr>
  </w:style>
  <w:style w:type="character" w:styleId="ListLabel2262" w:customStyle="1">
    <w:name w:val="ListLabel 2262"/>
    <w:qFormat/>
    <w:rPr>
      <w:rFonts w:eastAsia="Wingdings"/>
    </w:rPr>
  </w:style>
  <w:style w:type="character" w:styleId="ListLabel2261" w:customStyle="1">
    <w:name w:val="ListLabel 2261"/>
    <w:qFormat/>
    <w:rPr>
      <w:rFonts w:eastAsia="Courier New"/>
    </w:rPr>
  </w:style>
  <w:style w:type="character" w:styleId="ListLabel2260" w:customStyle="1">
    <w:name w:val="ListLabel 2260"/>
    <w:qFormat/>
    <w:rPr>
      <w:rFonts w:eastAsia="Symbol"/>
    </w:rPr>
  </w:style>
  <w:style w:type="character" w:styleId="ListLabel2259" w:customStyle="1">
    <w:name w:val="ListLabel 2259"/>
    <w:qFormat/>
    <w:rPr>
      <w:rFonts w:eastAsia="Wingdings"/>
    </w:rPr>
  </w:style>
  <w:style w:type="character" w:styleId="ListLabel2258" w:customStyle="1">
    <w:name w:val="ListLabel 2258"/>
    <w:qFormat/>
    <w:rPr>
      <w:rFonts w:eastAsia="Courier New"/>
    </w:rPr>
  </w:style>
  <w:style w:type="character" w:styleId="ListLabel2257" w:customStyle="1">
    <w:name w:val="ListLabel 2257"/>
    <w:qFormat/>
    <w:rPr>
      <w:rFonts w:eastAsia="Symbol"/>
    </w:rPr>
  </w:style>
  <w:style w:type="character" w:styleId="ListLabel2256" w:customStyle="1">
    <w:name w:val="ListLabel 2256"/>
    <w:qFormat/>
    <w:rPr>
      <w:rFonts w:eastAsia="Wingdings"/>
    </w:rPr>
  </w:style>
  <w:style w:type="character" w:styleId="ListLabel2255" w:customStyle="1">
    <w:name w:val="ListLabel 2255"/>
    <w:qFormat/>
    <w:rPr>
      <w:rFonts w:eastAsia="Courier New"/>
    </w:rPr>
  </w:style>
  <w:style w:type="character" w:styleId="ListLabel2254" w:customStyle="1">
    <w:name w:val="ListLabel 2254"/>
    <w:qFormat/>
    <w:rPr>
      <w:rFonts w:ascii="Calibri" w:hAnsi="Calibri" w:eastAsia="Symbol"/>
      <w:sz w:val="22"/>
    </w:rPr>
  </w:style>
  <w:style w:type="character" w:styleId="ListLabel2253" w:customStyle="1">
    <w:name w:val="ListLabel 2253"/>
    <w:qFormat/>
    <w:rPr>
      <w:rFonts w:eastAsia="Symbol"/>
      <w:b/>
      <w:lang w:eastAsia="el-GR"/>
    </w:rPr>
  </w:style>
  <w:style w:type="character" w:styleId="ListLabel2252" w:customStyle="1">
    <w:name w:val="ListLabel 2252"/>
    <w:qFormat/>
    <w:rPr>
      <w:rFonts w:eastAsia="Wingdings"/>
    </w:rPr>
  </w:style>
  <w:style w:type="character" w:styleId="ListLabel2251" w:customStyle="1">
    <w:name w:val="ListLabel 2251"/>
    <w:qFormat/>
    <w:rPr>
      <w:rFonts w:eastAsia="Courier New"/>
    </w:rPr>
  </w:style>
  <w:style w:type="character" w:styleId="ListLabel2250" w:customStyle="1">
    <w:name w:val="ListLabel 2250"/>
    <w:qFormat/>
    <w:rPr>
      <w:rFonts w:eastAsia="Symbol"/>
    </w:rPr>
  </w:style>
  <w:style w:type="character" w:styleId="ListLabel2249" w:customStyle="1">
    <w:name w:val="ListLabel 2249"/>
    <w:qFormat/>
    <w:rPr>
      <w:rFonts w:eastAsia="Wingdings"/>
    </w:rPr>
  </w:style>
  <w:style w:type="character" w:styleId="ListLabel2248" w:customStyle="1">
    <w:name w:val="ListLabel 2248"/>
    <w:qFormat/>
    <w:rPr>
      <w:rFonts w:eastAsia="Courier New"/>
    </w:rPr>
  </w:style>
  <w:style w:type="character" w:styleId="ListLabel2247" w:customStyle="1">
    <w:name w:val="ListLabel 2247"/>
    <w:qFormat/>
    <w:rPr>
      <w:rFonts w:eastAsia="Symbol"/>
    </w:rPr>
  </w:style>
  <w:style w:type="character" w:styleId="ListLabel2246" w:customStyle="1">
    <w:name w:val="ListLabel 2246"/>
    <w:qFormat/>
    <w:rPr>
      <w:rFonts w:eastAsia="Wingdings"/>
    </w:rPr>
  </w:style>
  <w:style w:type="character" w:styleId="ListLabel2245" w:customStyle="1">
    <w:name w:val="ListLabel 2245"/>
    <w:qFormat/>
    <w:rPr>
      <w:rFonts w:eastAsia="Courier New"/>
    </w:rPr>
  </w:style>
  <w:style w:type="character" w:styleId="ListLabel2244" w:customStyle="1">
    <w:name w:val="ListLabel 2244"/>
    <w:qFormat/>
    <w:rPr>
      <w:rFonts w:eastAsia="Symbol"/>
    </w:rPr>
  </w:style>
  <w:style w:type="character" w:styleId="ListLabel2243" w:customStyle="1">
    <w:name w:val="ListLabel 2243"/>
    <w:qFormat/>
    <w:rPr>
      <w:rFonts w:eastAsia="Times New Roman"/>
    </w:rPr>
  </w:style>
  <w:style w:type="character" w:styleId="ListLabel2242" w:customStyle="1">
    <w:name w:val="ListLabel 2242"/>
    <w:qFormat/>
    <w:rPr>
      <w:rFonts w:eastAsia="Times New Roman"/>
    </w:rPr>
  </w:style>
  <w:style w:type="character" w:styleId="ListLabel2241" w:customStyle="1">
    <w:name w:val="ListLabel 2241"/>
    <w:qFormat/>
    <w:rPr>
      <w:rFonts w:eastAsia="Times New Roman"/>
    </w:rPr>
  </w:style>
  <w:style w:type="character" w:styleId="ListLabel2240" w:customStyle="1">
    <w:name w:val="ListLabel 2240"/>
    <w:qFormat/>
    <w:rPr>
      <w:rFonts w:eastAsia="Times New Roman"/>
    </w:rPr>
  </w:style>
  <w:style w:type="character" w:styleId="ListLabel2239" w:customStyle="1">
    <w:name w:val="ListLabel 2239"/>
    <w:qFormat/>
    <w:rPr>
      <w:rFonts w:eastAsia="Times New Roman"/>
    </w:rPr>
  </w:style>
  <w:style w:type="character" w:styleId="ListLabel2238" w:customStyle="1">
    <w:name w:val="ListLabel 2238"/>
    <w:qFormat/>
    <w:rPr>
      <w:rFonts w:eastAsia="Times New Roman"/>
    </w:rPr>
  </w:style>
  <w:style w:type="character" w:styleId="ListLabel2237" w:customStyle="1">
    <w:name w:val="ListLabel 2237"/>
    <w:qFormat/>
    <w:rPr>
      <w:rFonts w:eastAsia="Times New Roman"/>
    </w:rPr>
  </w:style>
  <w:style w:type="character" w:styleId="ListLabel2236" w:customStyle="1">
    <w:name w:val="ListLabel 2236"/>
    <w:qFormat/>
    <w:rPr>
      <w:rFonts w:eastAsia="Times New Roman"/>
    </w:rPr>
  </w:style>
  <w:style w:type="character" w:styleId="ListLabel2235" w:customStyle="1">
    <w:name w:val="ListLabel 2235"/>
    <w:qFormat/>
    <w:rPr>
      <w:rFonts w:ascii="Calibri" w:hAnsi="Calibri" w:eastAsia="Times New Roman"/>
    </w:rPr>
  </w:style>
  <w:style w:type="character" w:styleId="ListLabel2234" w:customStyle="1">
    <w:name w:val="ListLabel 2234"/>
    <w:qFormat/>
    <w:rPr>
      <w:rFonts w:eastAsia="Wingdings"/>
    </w:rPr>
  </w:style>
  <w:style w:type="character" w:styleId="ListLabel2233" w:customStyle="1">
    <w:name w:val="ListLabel 2233"/>
    <w:qFormat/>
    <w:rPr>
      <w:rFonts w:eastAsia="Courier New"/>
    </w:rPr>
  </w:style>
  <w:style w:type="character" w:styleId="ListLabel2232" w:customStyle="1">
    <w:name w:val="ListLabel 2232"/>
    <w:qFormat/>
    <w:rPr>
      <w:rFonts w:eastAsia="Symbol"/>
    </w:rPr>
  </w:style>
  <w:style w:type="character" w:styleId="ListLabel2231" w:customStyle="1">
    <w:name w:val="ListLabel 2231"/>
    <w:qFormat/>
    <w:rPr>
      <w:rFonts w:eastAsia="Wingdings"/>
    </w:rPr>
  </w:style>
  <w:style w:type="character" w:styleId="ListLabel2230" w:customStyle="1">
    <w:name w:val="ListLabel 2230"/>
    <w:qFormat/>
    <w:rPr>
      <w:rFonts w:eastAsia="Courier New"/>
    </w:rPr>
  </w:style>
  <w:style w:type="character" w:styleId="ListLabel2229" w:customStyle="1">
    <w:name w:val="ListLabel 2229"/>
    <w:qFormat/>
    <w:rPr>
      <w:rFonts w:eastAsia="Symbol"/>
    </w:rPr>
  </w:style>
  <w:style w:type="character" w:styleId="ListLabel2228" w:customStyle="1">
    <w:name w:val="ListLabel 2228"/>
    <w:qFormat/>
    <w:rPr>
      <w:rFonts w:eastAsia="Wingdings"/>
    </w:rPr>
  </w:style>
  <w:style w:type="character" w:styleId="ListLabel2227" w:customStyle="1">
    <w:name w:val="ListLabel 2227"/>
    <w:qFormat/>
    <w:rPr>
      <w:rFonts w:eastAsia="Courier New"/>
    </w:rPr>
  </w:style>
  <w:style w:type="character" w:styleId="ListLabel2226" w:customStyle="1">
    <w:name w:val="ListLabel 2226"/>
    <w:qFormat/>
    <w:rPr>
      <w:rFonts w:eastAsia="Wingdings"/>
      <w:color w:val="auto"/>
    </w:rPr>
  </w:style>
  <w:style w:type="character" w:styleId="ListLabel2225" w:customStyle="1">
    <w:name w:val="ListLabel 2225"/>
    <w:qFormat/>
    <w:rPr>
      <w:rFonts w:eastAsia="Times New Roman"/>
    </w:rPr>
  </w:style>
  <w:style w:type="character" w:styleId="ListLabel2224" w:customStyle="1">
    <w:name w:val="ListLabel 2224"/>
    <w:qFormat/>
    <w:rPr>
      <w:rFonts w:eastAsia="Times New Roman"/>
    </w:rPr>
  </w:style>
  <w:style w:type="character" w:styleId="ListLabel2223" w:customStyle="1">
    <w:name w:val="ListLabel 2223"/>
    <w:qFormat/>
    <w:rPr>
      <w:rFonts w:eastAsia="Times New Roman"/>
    </w:rPr>
  </w:style>
  <w:style w:type="character" w:styleId="ListLabel2222" w:customStyle="1">
    <w:name w:val="ListLabel 2222"/>
    <w:qFormat/>
    <w:rPr>
      <w:rFonts w:eastAsia="Times New Roman"/>
    </w:rPr>
  </w:style>
  <w:style w:type="character" w:styleId="ListLabel2221" w:customStyle="1">
    <w:name w:val="ListLabel 2221"/>
    <w:qFormat/>
    <w:rPr>
      <w:rFonts w:eastAsia="Times New Roman"/>
    </w:rPr>
  </w:style>
  <w:style w:type="character" w:styleId="ListLabel2220" w:customStyle="1">
    <w:name w:val="ListLabel 2220"/>
    <w:qFormat/>
    <w:rPr>
      <w:rFonts w:eastAsia="Times New Roman"/>
    </w:rPr>
  </w:style>
  <w:style w:type="character" w:styleId="ListLabel2219" w:customStyle="1">
    <w:name w:val="ListLabel 2219"/>
    <w:qFormat/>
    <w:rPr>
      <w:rFonts w:eastAsia="Times New Roman"/>
    </w:rPr>
  </w:style>
  <w:style w:type="character" w:styleId="ListLabel2218" w:customStyle="1">
    <w:name w:val="ListLabel 2218"/>
    <w:qFormat/>
    <w:rPr>
      <w:rFonts w:eastAsia="Times New Roman"/>
    </w:rPr>
  </w:style>
  <w:style w:type="character" w:styleId="ListLabel2217" w:customStyle="1">
    <w:name w:val="ListLabel 2217"/>
    <w:qFormat/>
    <w:rPr>
      <w:rFonts w:eastAsia="Times New Roman"/>
      <w:sz w:val="16"/>
    </w:rPr>
  </w:style>
  <w:style w:type="character" w:styleId="ListLabel2216" w:customStyle="1">
    <w:name w:val="ListLabel 2216"/>
    <w:qFormat/>
    <w:rPr>
      <w:rFonts w:eastAsia="Times New Roman"/>
      <w:sz w:val="22"/>
    </w:rPr>
  </w:style>
  <w:style w:type="character" w:styleId="ListLabel2215" w:customStyle="1">
    <w:name w:val="ListLabel 2215"/>
    <w:qFormat/>
    <w:rPr>
      <w:rFonts w:eastAsia="Tahoma"/>
      <w:sz w:val="22"/>
      <w:lang w:eastAsia="el-GR"/>
    </w:rPr>
  </w:style>
  <w:style w:type="character" w:styleId="ListLabel2214" w:customStyle="1">
    <w:name w:val="ListLabel 2214"/>
    <w:qFormat/>
    <w:rPr>
      <w:rFonts w:eastAsia="Tahoma"/>
      <w:sz w:val="22"/>
      <w:lang w:eastAsia="en-US"/>
    </w:rPr>
  </w:style>
  <w:style w:type="character" w:styleId="ListLabel2213" w:customStyle="1">
    <w:name w:val="ListLabel 2213"/>
    <w:qFormat/>
    <w:rPr>
      <w:rFonts w:eastAsia="Calibri"/>
    </w:rPr>
  </w:style>
  <w:style w:type="character" w:styleId="ListLabel2212" w:customStyle="1">
    <w:name w:val="ListLabel 2212"/>
    <w:qFormat/>
    <w:rPr>
      <w:rFonts w:ascii="Calibri" w:hAnsi="Calibri" w:eastAsia="Calibri"/>
      <w:sz w:val="22"/>
    </w:rPr>
  </w:style>
  <w:style w:type="character" w:styleId="ListLabel2211" w:customStyle="1">
    <w:name w:val="ListLabel 2211"/>
    <w:qFormat/>
    <w:rPr>
      <w:rFonts w:eastAsia="Tahoma"/>
      <w:color w:val="auto"/>
      <w:sz w:val="22"/>
      <w:lang w:eastAsia="el-GR"/>
    </w:rPr>
  </w:style>
  <w:style w:type="character" w:styleId="ListLabel2210" w:customStyle="1">
    <w:name w:val="ListLabel 2210"/>
    <w:qFormat/>
    <w:rPr>
      <w:rFonts w:eastAsia="Tahoma"/>
      <w:i/>
      <w:color w:val="auto"/>
      <w:sz w:val="22"/>
    </w:rPr>
  </w:style>
  <w:style w:type="character" w:styleId="ListLabel2209" w:customStyle="1">
    <w:name w:val="ListLabel 2209"/>
    <w:qFormat/>
    <w:rPr>
      <w:rFonts w:eastAsia="Calibri"/>
      <w:b/>
      <w:sz w:val="22"/>
      <w:lang w:eastAsia="el-GR"/>
    </w:rPr>
  </w:style>
  <w:style w:type="character" w:styleId="ListLabel2208" w:customStyle="1">
    <w:name w:val="ListLabel 2208"/>
    <w:qFormat/>
    <w:rPr>
      <w:rFonts w:eastAsia="Calibri"/>
      <w:b/>
      <w:sz w:val="22"/>
      <w:lang w:eastAsia="en-US"/>
    </w:rPr>
  </w:style>
  <w:style w:type="character" w:styleId="ListLabel2207" w:customStyle="1">
    <w:name w:val="ListLabel 2207"/>
    <w:qFormat/>
    <w:rPr>
      <w:rFonts w:eastAsia="Calibri"/>
      <w:lang w:eastAsia="el-GR"/>
    </w:rPr>
  </w:style>
  <w:style w:type="character" w:styleId="ListLabel2206" w:customStyle="1">
    <w:name w:val="ListLabel 2206"/>
    <w:qFormat/>
    <w:rPr>
      <w:rFonts w:eastAsia="Calibri"/>
    </w:rPr>
  </w:style>
  <w:style w:type="character" w:styleId="ListLabel2205" w:customStyle="1">
    <w:name w:val="ListLabel 2205"/>
    <w:qFormat/>
    <w:rPr>
      <w:rFonts w:eastAsia="Calibri"/>
      <w:b/>
      <w:color w:val="0000FF"/>
      <w:sz w:val="22"/>
      <w:u w:val="single"/>
      <w:lang w:eastAsia="el-GR"/>
    </w:rPr>
  </w:style>
  <w:style w:type="character" w:styleId="ListLabel2204" w:customStyle="1">
    <w:name w:val="ListLabel 2204"/>
    <w:qFormat/>
    <w:rPr>
      <w:rFonts w:eastAsia="Calibri"/>
      <w:b/>
      <w:sz w:val="22"/>
      <w:lang w:eastAsia="en-US"/>
    </w:rPr>
  </w:style>
  <w:style w:type="character" w:styleId="ListLabel2203" w:customStyle="1">
    <w:name w:val="ListLabel 2203"/>
    <w:qFormat/>
    <w:rPr>
      <w:rFonts w:eastAsia="Calibri"/>
      <w:b/>
      <w:sz w:val="22"/>
    </w:rPr>
  </w:style>
  <w:style w:type="character" w:styleId="ListLabel2202" w:customStyle="1">
    <w:name w:val="ListLabel 2202"/>
    <w:qFormat/>
    <w:rPr>
      <w:rFonts w:eastAsia="Calibri"/>
      <w:b/>
      <w:sz w:val="22"/>
      <w:lang w:eastAsia="el-GR"/>
    </w:rPr>
  </w:style>
  <w:style w:type="character" w:styleId="ListLabel2201" w:customStyle="1">
    <w:name w:val="ListLabel 2201"/>
    <w:qFormat/>
    <w:rPr>
      <w:rFonts w:eastAsia="Calibri"/>
      <w:b/>
      <w:sz w:val="22"/>
      <w:lang w:eastAsia="el-GR"/>
    </w:rPr>
  </w:style>
  <w:style w:type="character" w:styleId="ListLabel2200" w:customStyle="1">
    <w:name w:val="ListLabel 2200"/>
    <w:qFormat/>
    <w:rPr>
      <w:rFonts w:eastAsia="Calibri"/>
      <w:b/>
      <w:sz w:val="22"/>
      <w:lang w:eastAsia="el-GR"/>
    </w:rPr>
  </w:style>
  <w:style w:type="character" w:styleId="ListLabel2199" w:customStyle="1">
    <w:name w:val="ListLabel 2199"/>
    <w:qFormat/>
    <w:rPr>
      <w:rFonts w:eastAsia="Calibri"/>
      <w:b/>
      <w:sz w:val="22"/>
      <w:lang w:eastAsia="el-GR"/>
    </w:rPr>
  </w:style>
  <w:style w:type="character" w:styleId="ListLabel2198" w:customStyle="1">
    <w:name w:val="ListLabel 2198"/>
    <w:qFormat/>
    <w:rPr>
      <w:rFonts w:eastAsia="Calibri"/>
      <w:color w:val="0000FF"/>
      <w:sz w:val="22"/>
      <w:u w:val="single"/>
      <w:lang w:eastAsia="el-GR"/>
    </w:rPr>
  </w:style>
  <w:style w:type="character" w:styleId="ListLabel2197" w:customStyle="1">
    <w:name w:val="ListLabel 2197"/>
    <w:qFormat/>
    <w:rPr>
      <w:rFonts w:eastAsia="Calibri"/>
      <w:sz w:val="22"/>
    </w:rPr>
  </w:style>
  <w:style w:type="character" w:styleId="ListLabel2196" w:customStyle="1">
    <w:name w:val="ListLabel 2196"/>
    <w:qFormat/>
    <w:rPr>
      <w:rFonts w:eastAsia="Calibri"/>
      <w:sz w:val="22"/>
      <w:lang w:eastAsia="en-US"/>
    </w:rPr>
  </w:style>
  <w:style w:type="character" w:styleId="ListLabel2195" w:customStyle="1">
    <w:name w:val="ListLabel 2195"/>
    <w:qFormat/>
    <w:rPr>
      <w:rFonts w:eastAsia="Symbol"/>
    </w:rPr>
  </w:style>
  <w:style w:type="character" w:styleId="ListLabel2194" w:customStyle="1">
    <w:name w:val="ListLabel 2194"/>
    <w:qFormat/>
    <w:rPr>
      <w:rFonts w:eastAsia="Symbol"/>
    </w:rPr>
  </w:style>
  <w:style w:type="character" w:styleId="ListLabel2193" w:customStyle="1">
    <w:name w:val="ListLabel 2193"/>
    <w:qFormat/>
    <w:rPr>
      <w:rFonts w:eastAsia="Symbol"/>
    </w:rPr>
  </w:style>
  <w:style w:type="character" w:styleId="ListLabel2192" w:customStyle="1">
    <w:name w:val="ListLabel 2192"/>
    <w:qFormat/>
    <w:rPr>
      <w:rFonts w:eastAsia="Symbol"/>
    </w:rPr>
  </w:style>
  <w:style w:type="character" w:styleId="ListLabel2191" w:customStyle="1">
    <w:name w:val="ListLabel 2191"/>
    <w:qFormat/>
    <w:rPr>
      <w:rFonts w:eastAsia="Symbol"/>
    </w:rPr>
  </w:style>
  <w:style w:type="character" w:styleId="ListLabel2190" w:customStyle="1">
    <w:name w:val="ListLabel 2190"/>
    <w:qFormat/>
    <w:rPr>
      <w:rFonts w:eastAsia="Symbol"/>
    </w:rPr>
  </w:style>
  <w:style w:type="character" w:styleId="ListLabel2189" w:customStyle="1">
    <w:name w:val="ListLabel 2189"/>
    <w:qFormat/>
    <w:rPr>
      <w:rFonts w:eastAsia="Symbol"/>
    </w:rPr>
  </w:style>
  <w:style w:type="character" w:styleId="ListLabel2188" w:customStyle="1">
    <w:name w:val="ListLabel 2188"/>
    <w:qFormat/>
    <w:rPr>
      <w:rFonts w:eastAsia="Symbol"/>
    </w:rPr>
  </w:style>
  <w:style w:type="character" w:styleId="ListLabel2187" w:customStyle="1">
    <w:name w:val="ListLabel 2187"/>
    <w:qFormat/>
    <w:rPr>
      <w:rFonts w:eastAsia="Symbol"/>
    </w:rPr>
  </w:style>
  <w:style w:type="character" w:styleId="ListLabel2186" w:customStyle="1">
    <w:name w:val="ListLabel 2186"/>
    <w:qFormat/>
    <w:rPr>
      <w:rFonts w:eastAsia="Wingdings"/>
    </w:rPr>
  </w:style>
  <w:style w:type="character" w:styleId="ListLabel2185" w:customStyle="1">
    <w:name w:val="ListLabel 2185"/>
    <w:qFormat/>
    <w:rPr>
      <w:rFonts w:eastAsia="Courier New"/>
    </w:rPr>
  </w:style>
  <w:style w:type="character" w:styleId="ListLabel2184" w:customStyle="1">
    <w:name w:val="ListLabel 2184"/>
    <w:qFormat/>
    <w:rPr>
      <w:rFonts w:eastAsia="Symbol"/>
    </w:rPr>
  </w:style>
  <w:style w:type="character" w:styleId="ListLabel2183" w:customStyle="1">
    <w:name w:val="ListLabel 2183"/>
    <w:qFormat/>
    <w:rPr>
      <w:rFonts w:eastAsia="Wingdings"/>
    </w:rPr>
  </w:style>
  <w:style w:type="character" w:styleId="ListLabel2182" w:customStyle="1">
    <w:name w:val="ListLabel 2182"/>
    <w:qFormat/>
    <w:rPr>
      <w:rFonts w:eastAsia="Courier New"/>
    </w:rPr>
  </w:style>
  <w:style w:type="character" w:styleId="ListLabel2181" w:customStyle="1">
    <w:name w:val="ListLabel 2181"/>
    <w:qFormat/>
    <w:rPr>
      <w:rFonts w:eastAsia="Symbol"/>
    </w:rPr>
  </w:style>
  <w:style w:type="character" w:styleId="ListLabel2180" w:customStyle="1">
    <w:name w:val="ListLabel 2180"/>
    <w:qFormat/>
    <w:rPr>
      <w:rFonts w:eastAsia="Wingdings"/>
    </w:rPr>
  </w:style>
  <w:style w:type="character" w:styleId="ListLabel2179" w:customStyle="1">
    <w:name w:val="ListLabel 2179"/>
    <w:qFormat/>
    <w:rPr>
      <w:rFonts w:eastAsia="Courier New"/>
    </w:rPr>
  </w:style>
  <w:style w:type="character" w:styleId="ListLabel2178" w:customStyle="1">
    <w:name w:val="ListLabel 2178"/>
    <w:qFormat/>
    <w:rPr>
      <w:rFonts w:ascii="Calibri" w:hAnsi="Calibri" w:eastAsia="Wingdings"/>
      <w:b/>
      <w:sz w:val="22"/>
    </w:rPr>
  </w:style>
  <w:style w:type="character" w:styleId="ListLabel2177" w:customStyle="1">
    <w:name w:val="ListLabel 2177"/>
    <w:qFormat/>
    <w:rPr>
      <w:rFonts w:eastAsia="Wingdings"/>
    </w:rPr>
  </w:style>
  <w:style w:type="character" w:styleId="ListLabel2176" w:customStyle="1">
    <w:name w:val="ListLabel 2176"/>
    <w:qFormat/>
    <w:rPr>
      <w:rFonts w:eastAsia="Courier New"/>
    </w:rPr>
  </w:style>
  <w:style w:type="character" w:styleId="ListLabel2175" w:customStyle="1">
    <w:name w:val="ListLabel 2175"/>
    <w:qFormat/>
    <w:rPr>
      <w:rFonts w:eastAsia="Symbol"/>
    </w:rPr>
  </w:style>
  <w:style w:type="character" w:styleId="ListLabel2174" w:customStyle="1">
    <w:name w:val="ListLabel 2174"/>
    <w:qFormat/>
    <w:rPr>
      <w:rFonts w:eastAsia="Wingdings"/>
    </w:rPr>
  </w:style>
  <w:style w:type="character" w:styleId="ListLabel2173" w:customStyle="1">
    <w:name w:val="ListLabel 2173"/>
    <w:qFormat/>
    <w:rPr>
      <w:rFonts w:eastAsia="Courier New"/>
    </w:rPr>
  </w:style>
  <w:style w:type="character" w:styleId="ListLabel2172" w:customStyle="1">
    <w:name w:val="ListLabel 2172"/>
    <w:qFormat/>
    <w:rPr>
      <w:rFonts w:eastAsia="Symbol"/>
    </w:rPr>
  </w:style>
  <w:style w:type="character" w:styleId="ListLabel2171" w:customStyle="1">
    <w:name w:val="ListLabel 2171"/>
    <w:qFormat/>
    <w:rPr>
      <w:rFonts w:eastAsia="Wingdings"/>
    </w:rPr>
  </w:style>
  <w:style w:type="character" w:styleId="ListLabel2170" w:customStyle="1">
    <w:name w:val="ListLabel 2170"/>
    <w:qFormat/>
    <w:rPr>
      <w:rFonts w:eastAsia="Courier New"/>
    </w:rPr>
  </w:style>
  <w:style w:type="character" w:styleId="ListLabel2169" w:customStyle="1">
    <w:name w:val="ListLabel 2169"/>
    <w:qFormat/>
    <w:rPr>
      <w:rFonts w:eastAsia="Wingdings"/>
    </w:rPr>
  </w:style>
  <w:style w:type="character" w:styleId="ListLabel2168" w:customStyle="1">
    <w:name w:val="ListLabel 2168"/>
    <w:qFormat/>
    <w:rPr>
      <w:rFonts w:eastAsia="Calibri"/>
      <w:b w:val="false"/>
      <w:i/>
      <w:sz w:val="22"/>
    </w:rPr>
  </w:style>
  <w:style w:type="character" w:styleId="ListLabel2167" w:customStyle="1">
    <w:name w:val="ListLabel 2167"/>
    <w:qFormat/>
    <w:rPr>
      <w:rFonts w:eastAsia="Wingdings"/>
    </w:rPr>
  </w:style>
  <w:style w:type="character" w:styleId="ListLabel2166" w:customStyle="1">
    <w:name w:val="ListLabel 2166"/>
    <w:qFormat/>
    <w:rPr>
      <w:rFonts w:eastAsia="Courier New"/>
    </w:rPr>
  </w:style>
  <w:style w:type="character" w:styleId="ListLabel2165" w:customStyle="1">
    <w:name w:val="ListLabel 2165"/>
    <w:qFormat/>
    <w:rPr>
      <w:rFonts w:eastAsia="Symbol"/>
    </w:rPr>
  </w:style>
  <w:style w:type="character" w:styleId="ListLabel2164" w:customStyle="1">
    <w:name w:val="ListLabel 2164"/>
    <w:qFormat/>
    <w:rPr>
      <w:rFonts w:eastAsia="Wingdings"/>
    </w:rPr>
  </w:style>
  <w:style w:type="character" w:styleId="ListLabel2163" w:customStyle="1">
    <w:name w:val="ListLabel 2163"/>
    <w:qFormat/>
    <w:rPr>
      <w:rFonts w:eastAsia="Courier New"/>
    </w:rPr>
  </w:style>
  <w:style w:type="character" w:styleId="ListLabel2162" w:customStyle="1">
    <w:name w:val="ListLabel 2162"/>
    <w:qFormat/>
    <w:rPr>
      <w:rFonts w:eastAsia="Symbol"/>
    </w:rPr>
  </w:style>
  <w:style w:type="character" w:styleId="ListLabel2161" w:customStyle="1">
    <w:name w:val="ListLabel 2161"/>
    <w:qFormat/>
    <w:rPr>
      <w:rFonts w:eastAsia="Wingdings"/>
    </w:rPr>
  </w:style>
  <w:style w:type="character" w:styleId="ListLabel2160" w:customStyle="1">
    <w:name w:val="ListLabel 2160"/>
    <w:qFormat/>
    <w:rPr>
      <w:rFonts w:eastAsia="Courier New"/>
    </w:rPr>
  </w:style>
  <w:style w:type="character" w:styleId="ListLabel2159" w:customStyle="1">
    <w:name w:val="ListLabel 2159"/>
    <w:qFormat/>
    <w:rPr>
      <w:rFonts w:ascii="Calibri" w:hAnsi="Calibri" w:eastAsia="Symbol"/>
      <w:sz w:val="22"/>
    </w:rPr>
  </w:style>
  <w:style w:type="character" w:styleId="ListLabel2158" w:customStyle="1">
    <w:name w:val="ListLabel 2158"/>
    <w:qFormat/>
    <w:rPr>
      <w:rFonts w:eastAsia="Symbol"/>
      <w:b/>
      <w:lang w:eastAsia="el-GR"/>
    </w:rPr>
  </w:style>
  <w:style w:type="character" w:styleId="ListLabel2157" w:customStyle="1">
    <w:name w:val="ListLabel 2157"/>
    <w:qFormat/>
    <w:rPr>
      <w:rFonts w:eastAsia="Wingdings"/>
    </w:rPr>
  </w:style>
  <w:style w:type="character" w:styleId="ListLabel2156" w:customStyle="1">
    <w:name w:val="ListLabel 2156"/>
    <w:qFormat/>
    <w:rPr>
      <w:rFonts w:eastAsia="Courier New"/>
    </w:rPr>
  </w:style>
  <w:style w:type="character" w:styleId="ListLabel2155" w:customStyle="1">
    <w:name w:val="ListLabel 2155"/>
    <w:qFormat/>
    <w:rPr>
      <w:rFonts w:eastAsia="Symbol"/>
    </w:rPr>
  </w:style>
  <w:style w:type="character" w:styleId="ListLabel2154" w:customStyle="1">
    <w:name w:val="ListLabel 2154"/>
    <w:qFormat/>
    <w:rPr>
      <w:rFonts w:eastAsia="Wingdings"/>
    </w:rPr>
  </w:style>
  <w:style w:type="character" w:styleId="ListLabel2153" w:customStyle="1">
    <w:name w:val="ListLabel 2153"/>
    <w:qFormat/>
    <w:rPr>
      <w:rFonts w:eastAsia="Courier New"/>
    </w:rPr>
  </w:style>
  <w:style w:type="character" w:styleId="ListLabel2152" w:customStyle="1">
    <w:name w:val="ListLabel 2152"/>
    <w:qFormat/>
    <w:rPr>
      <w:rFonts w:eastAsia="Symbol"/>
    </w:rPr>
  </w:style>
  <w:style w:type="character" w:styleId="ListLabel2151" w:customStyle="1">
    <w:name w:val="ListLabel 2151"/>
    <w:qFormat/>
    <w:rPr>
      <w:rFonts w:eastAsia="Wingdings"/>
    </w:rPr>
  </w:style>
  <w:style w:type="character" w:styleId="ListLabel2150" w:customStyle="1">
    <w:name w:val="ListLabel 2150"/>
    <w:qFormat/>
    <w:rPr>
      <w:rFonts w:eastAsia="Courier New"/>
    </w:rPr>
  </w:style>
  <w:style w:type="character" w:styleId="ListLabel2149" w:customStyle="1">
    <w:name w:val="ListLabel 2149"/>
    <w:qFormat/>
    <w:rPr>
      <w:rFonts w:eastAsia="Symbol"/>
    </w:rPr>
  </w:style>
  <w:style w:type="character" w:styleId="ListLabel2148" w:customStyle="1">
    <w:name w:val="ListLabel 2148"/>
    <w:qFormat/>
    <w:rPr>
      <w:rFonts w:eastAsia="Times New Roman"/>
    </w:rPr>
  </w:style>
  <w:style w:type="character" w:styleId="ListLabel2147" w:customStyle="1">
    <w:name w:val="ListLabel 2147"/>
    <w:qFormat/>
    <w:rPr>
      <w:rFonts w:eastAsia="Times New Roman"/>
    </w:rPr>
  </w:style>
  <w:style w:type="character" w:styleId="ListLabel2146" w:customStyle="1">
    <w:name w:val="ListLabel 2146"/>
    <w:qFormat/>
    <w:rPr>
      <w:rFonts w:eastAsia="Times New Roman"/>
    </w:rPr>
  </w:style>
  <w:style w:type="character" w:styleId="ListLabel2145" w:customStyle="1">
    <w:name w:val="ListLabel 2145"/>
    <w:qFormat/>
    <w:rPr>
      <w:rFonts w:eastAsia="Times New Roman"/>
    </w:rPr>
  </w:style>
  <w:style w:type="character" w:styleId="ListLabel2144" w:customStyle="1">
    <w:name w:val="ListLabel 2144"/>
    <w:qFormat/>
    <w:rPr>
      <w:rFonts w:eastAsia="Times New Roman"/>
    </w:rPr>
  </w:style>
  <w:style w:type="character" w:styleId="ListLabel2143" w:customStyle="1">
    <w:name w:val="ListLabel 2143"/>
    <w:qFormat/>
    <w:rPr>
      <w:rFonts w:eastAsia="Times New Roman"/>
    </w:rPr>
  </w:style>
  <w:style w:type="character" w:styleId="ListLabel2142" w:customStyle="1">
    <w:name w:val="ListLabel 2142"/>
    <w:qFormat/>
    <w:rPr>
      <w:rFonts w:eastAsia="Times New Roman"/>
    </w:rPr>
  </w:style>
  <w:style w:type="character" w:styleId="ListLabel2141" w:customStyle="1">
    <w:name w:val="ListLabel 2141"/>
    <w:qFormat/>
    <w:rPr>
      <w:rFonts w:eastAsia="Times New Roman"/>
    </w:rPr>
  </w:style>
  <w:style w:type="character" w:styleId="ListLabel2140" w:customStyle="1">
    <w:name w:val="ListLabel 2140"/>
    <w:qFormat/>
    <w:rPr>
      <w:rFonts w:ascii="Calibri" w:hAnsi="Calibri" w:eastAsia="Times New Roman"/>
    </w:rPr>
  </w:style>
  <w:style w:type="character" w:styleId="ListLabel2139" w:customStyle="1">
    <w:name w:val="ListLabel 2139"/>
    <w:qFormat/>
    <w:rPr>
      <w:rFonts w:eastAsia="Wingdings"/>
    </w:rPr>
  </w:style>
  <w:style w:type="character" w:styleId="ListLabel2138" w:customStyle="1">
    <w:name w:val="ListLabel 2138"/>
    <w:qFormat/>
    <w:rPr>
      <w:rFonts w:eastAsia="Courier New"/>
    </w:rPr>
  </w:style>
  <w:style w:type="character" w:styleId="ListLabel2137" w:customStyle="1">
    <w:name w:val="ListLabel 2137"/>
    <w:qFormat/>
    <w:rPr>
      <w:rFonts w:eastAsia="Symbol"/>
    </w:rPr>
  </w:style>
  <w:style w:type="character" w:styleId="ListLabel2136" w:customStyle="1">
    <w:name w:val="ListLabel 2136"/>
    <w:qFormat/>
    <w:rPr>
      <w:rFonts w:eastAsia="Wingdings"/>
    </w:rPr>
  </w:style>
  <w:style w:type="character" w:styleId="ListLabel2135" w:customStyle="1">
    <w:name w:val="ListLabel 2135"/>
    <w:qFormat/>
    <w:rPr>
      <w:rFonts w:eastAsia="Courier New"/>
    </w:rPr>
  </w:style>
  <w:style w:type="character" w:styleId="ListLabel2134" w:customStyle="1">
    <w:name w:val="ListLabel 2134"/>
    <w:qFormat/>
    <w:rPr>
      <w:rFonts w:eastAsia="Symbol"/>
    </w:rPr>
  </w:style>
  <w:style w:type="character" w:styleId="ListLabel2133" w:customStyle="1">
    <w:name w:val="ListLabel 2133"/>
    <w:qFormat/>
    <w:rPr>
      <w:rFonts w:eastAsia="Wingdings"/>
    </w:rPr>
  </w:style>
  <w:style w:type="character" w:styleId="ListLabel2132" w:customStyle="1">
    <w:name w:val="ListLabel 2132"/>
    <w:qFormat/>
    <w:rPr>
      <w:rFonts w:eastAsia="Courier New"/>
    </w:rPr>
  </w:style>
  <w:style w:type="character" w:styleId="ListLabel2131" w:customStyle="1">
    <w:name w:val="ListLabel 2131"/>
    <w:qFormat/>
    <w:rPr>
      <w:rFonts w:eastAsia="Wingdings"/>
      <w:color w:val="auto"/>
    </w:rPr>
  </w:style>
  <w:style w:type="character" w:styleId="ListLabel2130" w:customStyle="1">
    <w:name w:val="ListLabel 2130"/>
    <w:qFormat/>
    <w:rPr>
      <w:rFonts w:eastAsia="Times New Roman"/>
    </w:rPr>
  </w:style>
  <w:style w:type="character" w:styleId="ListLabel2129" w:customStyle="1">
    <w:name w:val="ListLabel 2129"/>
    <w:qFormat/>
    <w:rPr>
      <w:rFonts w:eastAsia="Times New Roman"/>
    </w:rPr>
  </w:style>
  <w:style w:type="character" w:styleId="ListLabel2128" w:customStyle="1">
    <w:name w:val="ListLabel 2128"/>
    <w:qFormat/>
    <w:rPr>
      <w:rFonts w:eastAsia="Times New Roman"/>
    </w:rPr>
  </w:style>
  <w:style w:type="character" w:styleId="ListLabel2127" w:customStyle="1">
    <w:name w:val="ListLabel 2127"/>
    <w:qFormat/>
    <w:rPr>
      <w:rFonts w:eastAsia="Times New Roman"/>
    </w:rPr>
  </w:style>
  <w:style w:type="character" w:styleId="ListLabel2126" w:customStyle="1">
    <w:name w:val="ListLabel 2126"/>
    <w:qFormat/>
    <w:rPr>
      <w:rFonts w:eastAsia="Times New Roman"/>
    </w:rPr>
  </w:style>
  <w:style w:type="character" w:styleId="ListLabel2125" w:customStyle="1">
    <w:name w:val="ListLabel 2125"/>
    <w:qFormat/>
    <w:rPr>
      <w:rFonts w:eastAsia="Times New Roman"/>
    </w:rPr>
  </w:style>
  <w:style w:type="character" w:styleId="ListLabel2124" w:customStyle="1">
    <w:name w:val="ListLabel 2124"/>
    <w:qFormat/>
    <w:rPr>
      <w:rFonts w:eastAsia="Times New Roman"/>
    </w:rPr>
  </w:style>
  <w:style w:type="character" w:styleId="ListLabel2123" w:customStyle="1">
    <w:name w:val="ListLabel 2123"/>
    <w:qFormat/>
    <w:rPr>
      <w:rFonts w:eastAsia="Times New Roman"/>
    </w:rPr>
  </w:style>
  <w:style w:type="character" w:styleId="ListLabel2122" w:customStyle="1">
    <w:name w:val="ListLabel 2122"/>
    <w:qFormat/>
    <w:rPr>
      <w:rFonts w:eastAsia="Times New Roman"/>
      <w:sz w:val="16"/>
    </w:rPr>
  </w:style>
  <w:style w:type="character" w:styleId="ListLabel2121" w:customStyle="1">
    <w:name w:val="ListLabel 2121"/>
    <w:qFormat/>
    <w:rPr>
      <w:rFonts w:eastAsia="Times New Roman"/>
      <w:sz w:val="22"/>
    </w:rPr>
  </w:style>
  <w:style w:type="character" w:styleId="ListLabel2120" w:customStyle="1">
    <w:name w:val="ListLabel 2120"/>
    <w:qFormat/>
    <w:rPr>
      <w:rFonts w:eastAsia="Tahoma"/>
      <w:sz w:val="22"/>
      <w:lang w:eastAsia="el-GR"/>
    </w:rPr>
  </w:style>
  <w:style w:type="character" w:styleId="ListLabel2119" w:customStyle="1">
    <w:name w:val="ListLabel 2119"/>
    <w:qFormat/>
    <w:rPr>
      <w:rFonts w:eastAsia="Tahoma"/>
      <w:sz w:val="22"/>
      <w:lang w:eastAsia="en-US"/>
    </w:rPr>
  </w:style>
  <w:style w:type="character" w:styleId="ListLabel2118" w:customStyle="1">
    <w:name w:val="ListLabel 2118"/>
    <w:qFormat/>
    <w:rPr>
      <w:rFonts w:eastAsia="Calibri"/>
    </w:rPr>
  </w:style>
  <w:style w:type="character" w:styleId="ListLabel2117" w:customStyle="1">
    <w:name w:val="ListLabel 2117"/>
    <w:qFormat/>
    <w:rPr>
      <w:rFonts w:ascii="Calibri" w:hAnsi="Calibri" w:eastAsia="Calibri"/>
      <w:sz w:val="22"/>
    </w:rPr>
  </w:style>
  <w:style w:type="character" w:styleId="ListLabel2116" w:customStyle="1">
    <w:name w:val="ListLabel 2116"/>
    <w:qFormat/>
    <w:rPr>
      <w:rFonts w:eastAsia="Tahoma"/>
      <w:color w:val="auto"/>
      <w:sz w:val="22"/>
      <w:lang w:eastAsia="el-GR"/>
    </w:rPr>
  </w:style>
  <w:style w:type="character" w:styleId="ListLabel2115" w:customStyle="1">
    <w:name w:val="ListLabel 2115"/>
    <w:qFormat/>
    <w:rPr>
      <w:rFonts w:eastAsia="Tahoma"/>
      <w:i/>
      <w:color w:val="auto"/>
      <w:sz w:val="22"/>
    </w:rPr>
  </w:style>
  <w:style w:type="character" w:styleId="ListLabel2114" w:customStyle="1">
    <w:name w:val="ListLabel 2114"/>
    <w:qFormat/>
    <w:rPr>
      <w:rFonts w:eastAsia="Calibri"/>
      <w:b/>
      <w:sz w:val="22"/>
      <w:lang w:eastAsia="el-GR"/>
    </w:rPr>
  </w:style>
  <w:style w:type="character" w:styleId="ListLabel2113" w:customStyle="1">
    <w:name w:val="ListLabel 2113"/>
    <w:qFormat/>
    <w:rPr>
      <w:rFonts w:eastAsia="Calibri"/>
      <w:b/>
      <w:sz w:val="22"/>
      <w:lang w:eastAsia="en-US"/>
    </w:rPr>
  </w:style>
  <w:style w:type="character" w:styleId="ListLabel2112" w:customStyle="1">
    <w:name w:val="ListLabel 2112"/>
    <w:qFormat/>
    <w:rPr>
      <w:rFonts w:eastAsia="Calibri"/>
      <w:lang w:eastAsia="el-GR"/>
    </w:rPr>
  </w:style>
  <w:style w:type="character" w:styleId="ListLabel2111" w:customStyle="1">
    <w:name w:val="ListLabel 2111"/>
    <w:qFormat/>
    <w:rPr>
      <w:rFonts w:eastAsia="Calibri"/>
    </w:rPr>
  </w:style>
  <w:style w:type="character" w:styleId="ListLabel2110" w:customStyle="1">
    <w:name w:val="ListLabel 2110"/>
    <w:qFormat/>
    <w:rPr>
      <w:rFonts w:eastAsia="Calibri"/>
      <w:b/>
      <w:color w:val="0000FF"/>
      <w:sz w:val="22"/>
      <w:u w:val="single"/>
      <w:lang w:eastAsia="el-GR"/>
    </w:rPr>
  </w:style>
  <w:style w:type="character" w:styleId="ListLabel2109" w:customStyle="1">
    <w:name w:val="ListLabel 2109"/>
    <w:qFormat/>
    <w:rPr>
      <w:rFonts w:eastAsia="Calibri"/>
      <w:b/>
      <w:sz w:val="22"/>
      <w:lang w:eastAsia="en-US"/>
    </w:rPr>
  </w:style>
  <w:style w:type="character" w:styleId="ListLabel2108" w:customStyle="1">
    <w:name w:val="ListLabel 2108"/>
    <w:qFormat/>
    <w:rPr>
      <w:rFonts w:eastAsia="Calibri"/>
      <w:b/>
      <w:sz w:val="22"/>
    </w:rPr>
  </w:style>
  <w:style w:type="character" w:styleId="ListLabel2107" w:customStyle="1">
    <w:name w:val="ListLabel 2107"/>
    <w:qFormat/>
    <w:rPr>
      <w:rFonts w:eastAsia="Calibri"/>
      <w:b/>
      <w:sz w:val="22"/>
      <w:lang w:eastAsia="el-GR"/>
    </w:rPr>
  </w:style>
  <w:style w:type="character" w:styleId="ListLabel2106" w:customStyle="1">
    <w:name w:val="ListLabel 2106"/>
    <w:qFormat/>
    <w:rPr>
      <w:rFonts w:eastAsia="Calibri"/>
      <w:b/>
      <w:sz w:val="22"/>
      <w:lang w:eastAsia="el-GR"/>
    </w:rPr>
  </w:style>
  <w:style w:type="character" w:styleId="ListLabel2105" w:customStyle="1">
    <w:name w:val="ListLabel 2105"/>
    <w:qFormat/>
    <w:rPr>
      <w:rFonts w:eastAsia="Calibri"/>
      <w:b/>
      <w:sz w:val="22"/>
      <w:lang w:eastAsia="el-GR"/>
    </w:rPr>
  </w:style>
  <w:style w:type="character" w:styleId="ListLabel2104" w:customStyle="1">
    <w:name w:val="ListLabel 2104"/>
    <w:qFormat/>
    <w:rPr>
      <w:rFonts w:eastAsia="Calibri"/>
      <w:b/>
      <w:sz w:val="22"/>
      <w:lang w:eastAsia="el-GR"/>
    </w:rPr>
  </w:style>
  <w:style w:type="character" w:styleId="ListLabel2103" w:customStyle="1">
    <w:name w:val="ListLabel 2103"/>
    <w:qFormat/>
    <w:rPr>
      <w:rFonts w:eastAsia="Calibri"/>
      <w:color w:val="0000FF"/>
      <w:sz w:val="22"/>
      <w:u w:val="single"/>
      <w:lang w:eastAsia="el-GR"/>
    </w:rPr>
  </w:style>
  <w:style w:type="character" w:styleId="ListLabel2102" w:customStyle="1">
    <w:name w:val="ListLabel 2102"/>
    <w:qFormat/>
    <w:rPr>
      <w:rFonts w:eastAsia="Calibri"/>
      <w:sz w:val="22"/>
    </w:rPr>
  </w:style>
  <w:style w:type="character" w:styleId="ListLabel2101" w:customStyle="1">
    <w:name w:val="ListLabel 2101"/>
    <w:qFormat/>
    <w:rPr>
      <w:rFonts w:eastAsia="Calibri"/>
      <w:sz w:val="22"/>
      <w:lang w:eastAsia="en-US"/>
    </w:rPr>
  </w:style>
  <w:style w:type="character" w:styleId="ListLabel2100" w:customStyle="1">
    <w:name w:val="ListLabel 2100"/>
    <w:qFormat/>
    <w:rPr>
      <w:rFonts w:eastAsia="Symbol"/>
    </w:rPr>
  </w:style>
  <w:style w:type="character" w:styleId="ListLabel2099" w:customStyle="1">
    <w:name w:val="ListLabel 2099"/>
    <w:qFormat/>
    <w:rPr>
      <w:rFonts w:eastAsia="Symbol"/>
    </w:rPr>
  </w:style>
  <w:style w:type="character" w:styleId="ListLabel2098" w:customStyle="1">
    <w:name w:val="ListLabel 2098"/>
    <w:qFormat/>
    <w:rPr>
      <w:rFonts w:eastAsia="Symbol"/>
    </w:rPr>
  </w:style>
  <w:style w:type="character" w:styleId="ListLabel2097" w:customStyle="1">
    <w:name w:val="ListLabel 2097"/>
    <w:qFormat/>
    <w:rPr>
      <w:rFonts w:eastAsia="Symbol"/>
    </w:rPr>
  </w:style>
  <w:style w:type="character" w:styleId="ListLabel2096" w:customStyle="1">
    <w:name w:val="ListLabel 2096"/>
    <w:qFormat/>
    <w:rPr>
      <w:rFonts w:eastAsia="Symbol"/>
    </w:rPr>
  </w:style>
  <w:style w:type="character" w:styleId="ListLabel2095" w:customStyle="1">
    <w:name w:val="ListLabel 2095"/>
    <w:qFormat/>
    <w:rPr>
      <w:rFonts w:eastAsia="Symbol"/>
    </w:rPr>
  </w:style>
  <w:style w:type="character" w:styleId="ListLabel2094" w:customStyle="1">
    <w:name w:val="ListLabel 2094"/>
    <w:qFormat/>
    <w:rPr>
      <w:rFonts w:eastAsia="Symbol"/>
    </w:rPr>
  </w:style>
  <w:style w:type="character" w:styleId="ListLabel2093" w:customStyle="1">
    <w:name w:val="ListLabel 2093"/>
    <w:qFormat/>
    <w:rPr>
      <w:rFonts w:eastAsia="Symbol"/>
    </w:rPr>
  </w:style>
  <w:style w:type="character" w:styleId="ListLabel2092" w:customStyle="1">
    <w:name w:val="ListLabel 2092"/>
    <w:qFormat/>
    <w:rPr>
      <w:rFonts w:eastAsia="Symbol"/>
    </w:rPr>
  </w:style>
  <w:style w:type="character" w:styleId="ListLabel2091" w:customStyle="1">
    <w:name w:val="ListLabel 2091"/>
    <w:qFormat/>
    <w:rPr>
      <w:rFonts w:eastAsia="Wingdings"/>
    </w:rPr>
  </w:style>
  <w:style w:type="character" w:styleId="ListLabel2090" w:customStyle="1">
    <w:name w:val="ListLabel 2090"/>
    <w:qFormat/>
    <w:rPr>
      <w:rFonts w:eastAsia="Courier New"/>
    </w:rPr>
  </w:style>
  <w:style w:type="character" w:styleId="ListLabel2089" w:customStyle="1">
    <w:name w:val="ListLabel 2089"/>
    <w:qFormat/>
    <w:rPr>
      <w:rFonts w:eastAsia="Symbol"/>
    </w:rPr>
  </w:style>
  <w:style w:type="character" w:styleId="ListLabel2088" w:customStyle="1">
    <w:name w:val="ListLabel 2088"/>
    <w:qFormat/>
    <w:rPr>
      <w:rFonts w:eastAsia="Wingdings"/>
    </w:rPr>
  </w:style>
  <w:style w:type="character" w:styleId="ListLabel2087" w:customStyle="1">
    <w:name w:val="ListLabel 2087"/>
    <w:qFormat/>
    <w:rPr>
      <w:rFonts w:eastAsia="Courier New"/>
    </w:rPr>
  </w:style>
  <w:style w:type="character" w:styleId="ListLabel2086" w:customStyle="1">
    <w:name w:val="ListLabel 2086"/>
    <w:qFormat/>
    <w:rPr>
      <w:rFonts w:eastAsia="Symbol"/>
    </w:rPr>
  </w:style>
  <w:style w:type="character" w:styleId="ListLabel2085" w:customStyle="1">
    <w:name w:val="ListLabel 2085"/>
    <w:qFormat/>
    <w:rPr>
      <w:rFonts w:eastAsia="Wingdings"/>
    </w:rPr>
  </w:style>
  <w:style w:type="character" w:styleId="ListLabel2084" w:customStyle="1">
    <w:name w:val="ListLabel 2084"/>
    <w:qFormat/>
    <w:rPr>
      <w:rFonts w:eastAsia="Courier New"/>
    </w:rPr>
  </w:style>
  <w:style w:type="character" w:styleId="ListLabel2083" w:customStyle="1">
    <w:name w:val="ListLabel 2083"/>
    <w:qFormat/>
    <w:rPr>
      <w:rFonts w:ascii="Calibri" w:hAnsi="Calibri" w:eastAsia="Wingdings"/>
      <w:b/>
      <w:sz w:val="22"/>
    </w:rPr>
  </w:style>
  <w:style w:type="character" w:styleId="ListLabel2082" w:customStyle="1">
    <w:name w:val="ListLabel 2082"/>
    <w:qFormat/>
    <w:rPr>
      <w:rFonts w:eastAsia="Wingdings"/>
    </w:rPr>
  </w:style>
  <w:style w:type="character" w:styleId="ListLabel2081" w:customStyle="1">
    <w:name w:val="ListLabel 2081"/>
    <w:qFormat/>
    <w:rPr>
      <w:rFonts w:eastAsia="Courier New"/>
    </w:rPr>
  </w:style>
  <w:style w:type="character" w:styleId="ListLabel2080" w:customStyle="1">
    <w:name w:val="ListLabel 2080"/>
    <w:qFormat/>
    <w:rPr>
      <w:rFonts w:eastAsia="Symbol"/>
    </w:rPr>
  </w:style>
  <w:style w:type="character" w:styleId="ListLabel2079" w:customStyle="1">
    <w:name w:val="ListLabel 2079"/>
    <w:qFormat/>
    <w:rPr>
      <w:rFonts w:eastAsia="Wingdings"/>
    </w:rPr>
  </w:style>
  <w:style w:type="character" w:styleId="ListLabel2078" w:customStyle="1">
    <w:name w:val="ListLabel 2078"/>
    <w:qFormat/>
    <w:rPr>
      <w:rFonts w:eastAsia="Courier New"/>
    </w:rPr>
  </w:style>
  <w:style w:type="character" w:styleId="ListLabel2077" w:customStyle="1">
    <w:name w:val="ListLabel 2077"/>
    <w:qFormat/>
    <w:rPr>
      <w:rFonts w:eastAsia="Symbol"/>
    </w:rPr>
  </w:style>
  <w:style w:type="character" w:styleId="ListLabel2076" w:customStyle="1">
    <w:name w:val="ListLabel 2076"/>
    <w:qFormat/>
    <w:rPr>
      <w:rFonts w:eastAsia="Wingdings"/>
    </w:rPr>
  </w:style>
  <w:style w:type="character" w:styleId="ListLabel2075" w:customStyle="1">
    <w:name w:val="ListLabel 2075"/>
    <w:qFormat/>
    <w:rPr>
      <w:rFonts w:eastAsia="Courier New"/>
    </w:rPr>
  </w:style>
  <w:style w:type="character" w:styleId="ListLabel2074" w:customStyle="1">
    <w:name w:val="ListLabel 2074"/>
    <w:qFormat/>
    <w:rPr>
      <w:rFonts w:eastAsia="Wingdings"/>
    </w:rPr>
  </w:style>
  <w:style w:type="character" w:styleId="ListLabel2073" w:customStyle="1">
    <w:name w:val="ListLabel 2073"/>
    <w:qFormat/>
    <w:rPr>
      <w:rFonts w:eastAsia="Calibri"/>
      <w:b w:val="false"/>
      <w:i/>
      <w:sz w:val="22"/>
    </w:rPr>
  </w:style>
  <w:style w:type="character" w:styleId="ListLabel2072" w:customStyle="1">
    <w:name w:val="ListLabel 2072"/>
    <w:qFormat/>
    <w:rPr>
      <w:rFonts w:eastAsia="Wingdings"/>
    </w:rPr>
  </w:style>
  <w:style w:type="character" w:styleId="ListLabel2071" w:customStyle="1">
    <w:name w:val="ListLabel 2071"/>
    <w:qFormat/>
    <w:rPr>
      <w:rFonts w:eastAsia="Courier New"/>
    </w:rPr>
  </w:style>
  <w:style w:type="character" w:styleId="ListLabel2070" w:customStyle="1">
    <w:name w:val="ListLabel 2070"/>
    <w:qFormat/>
    <w:rPr>
      <w:rFonts w:eastAsia="Symbol"/>
    </w:rPr>
  </w:style>
  <w:style w:type="character" w:styleId="ListLabel2069" w:customStyle="1">
    <w:name w:val="ListLabel 2069"/>
    <w:qFormat/>
    <w:rPr>
      <w:rFonts w:eastAsia="Wingdings"/>
    </w:rPr>
  </w:style>
  <w:style w:type="character" w:styleId="ListLabel2068" w:customStyle="1">
    <w:name w:val="ListLabel 2068"/>
    <w:qFormat/>
    <w:rPr>
      <w:rFonts w:eastAsia="Courier New"/>
    </w:rPr>
  </w:style>
  <w:style w:type="character" w:styleId="ListLabel2067" w:customStyle="1">
    <w:name w:val="ListLabel 2067"/>
    <w:qFormat/>
    <w:rPr>
      <w:rFonts w:eastAsia="Symbol"/>
    </w:rPr>
  </w:style>
  <w:style w:type="character" w:styleId="ListLabel2066" w:customStyle="1">
    <w:name w:val="ListLabel 2066"/>
    <w:qFormat/>
    <w:rPr>
      <w:rFonts w:eastAsia="Wingdings"/>
    </w:rPr>
  </w:style>
  <w:style w:type="character" w:styleId="ListLabel2065" w:customStyle="1">
    <w:name w:val="ListLabel 2065"/>
    <w:qFormat/>
    <w:rPr>
      <w:rFonts w:eastAsia="Courier New"/>
    </w:rPr>
  </w:style>
  <w:style w:type="character" w:styleId="ListLabel2064" w:customStyle="1">
    <w:name w:val="ListLabel 2064"/>
    <w:qFormat/>
    <w:rPr>
      <w:rFonts w:ascii="Calibri" w:hAnsi="Calibri" w:eastAsia="Symbol"/>
      <w:sz w:val="22"/>
    </w:rPr>
  </w:style>
  <w:style w:type="character" w:styleId="ListLabel2063" w:customStyle="1">
    <w:name w:val="ListLabel 2063"/>
    <w:qFormat/>
    <w:rPr>
      <w:rFonts w:eastAsia="Symbol"/>
      <w:b/>
      <w:lang w:eastAsia="el-GR"/>
    </w:rPr>
  </w:style>
  <w:style w:type="character" w:styleId="ListLabel2062" w:customStyle="1">
    <w:name w:val="ListLabel 2062"/>
    <w:qFormat/>
    <w:rPr>
      <w:rFonts w:eastAsia="Wingdings"/>
    </w:rPr>
  </w:style>
  <w:style w:type="character" w:styleId="ListLabel2061" w:customStyle="1">
    <w:name w:val="ListLabel 2061"/>
    <w:qFormat/>
    <w:rPr>
      <w:rFonts w:eastAsia="Courier New"/>
    </w:rPr>
  </w:style>
  <w:style w:type="character" w:styleId="ListLabel2060" w:customStyle="1">
    <w:name w:val="ListLabel 2060"/>
    <w:qFormat/>
    <w:rPr>
      <w:rFonts w:eastAsia="Symbol"/>
    </w:rPr>
  </w:style>
  <w:style w:type="character" w:styleId="ListLabel2059" w:customStyle="1">
    <w:name w:val="ListLabel 2059"/>
    <w:qFormat/>
    <w:rPr>
      <w:rFonts w:eastAsia="Wingdings"/>
    </w:rPr>
  </w:style>
  <w:style w:type="character" w:styleId="ListLabel2058" w:customStyle="1">
    <w:name w:val="ListLabel 2058"/>
    <w:qFormat/>
    <w:rPr>
      <w:rFonts w:eastAsia="Courier New"/>
    </w:rPr>
  </w:style>
  <w:style w:type="character" w:styleId="ListLabel2057" w:customStyle="1">
    <w:name w:val="ListLabel 2057"/>
    <w:qFormat/>
    <w:rPr>
      <w:rFonts w:eastAsia="Symbol"/>
    </w:rPr>
  </w:style>
  <w:style w:type="character" w:styleId="ListLabel2056" w:customStyle="1">
    <w:name w:val="ListLabel 2056"/>
    <w:qFormat/>
    <w:rPr>
      <w:rFonts w:eastAsia="Wingdings"/>
    </w:rPr>
  </w:style>
  <w:style w:type="character" w:styleId="ListLabel2055" w:customStyle="1">
    <w:name w:val="ListLabel 2055"/>
    <w:qFormat/>
    <w:rPr>
      <w:rFonts w:eastAsia="Courier New"/>
    </w:rPr>
  </w:style>
  <w:style w:type="character" w:styleId="ListLabel2054" w:customStyle="1">
    <w:name w:val="ListLabel 2054"/>
    <w:qFormat/>
    <w:rPr>
      <w:rFonts w:eastAsia="Symbol"/>
    </w:rPr>
  </w:style>
  <w:style w:type="character" w:styleId="ListLabel2053" w:customStyle="1">
    <w:name w:val="ListLabel 2053"/>
    <w:qFormat/>
    <w:rPr>
      <w:rFonts w:eastAsia="Times New Roman"/>
    </w:rPr>
  </w:style>
  <w:style w:type="character" w:styleId="ListLabel2052" w:customStyle="1">
    <w:name w:val="ListLabel 2052"/>
    <w:qFormat/>
    <w:rPr>
      <w:rFonts w:eastAsia="Times New Roman"/>
    </w:rPr>
  </w:style>
  <w:style w:type="character" w:styleId="ListLabel2051" w:customStyle="1">
    <w:name w:val="ListLabel 2051"/>
    <w:qFormat/>
    <w:rPr>
      <w:rFonts w:eastAsia="Times New Roman"/>
    </w:rPr>
  </w:style>
  <w:style w:type="character" w:styleId="ListLabel2050" w:customStyle="1">
    <w:name w:val="ListLabel 2050"/>
    <w:qFormat/>
    <w:rPr>
      <w:rFonts w:eastAsia="Times New Roman"/>
    </w:rPr>
  </w:style>
  <w:style w:type="character" w:styleId="ListLabel2049" w:customStyle="1">
    <w:name w:val="ListLabel 2049"/>
    <w:qFormat/>
    <w:rPr>
      <w:rFonts w:eastAsia="Times New Roman"/>
    </w:rPr>
  </w:style>
  <w:style w:type="character" w:styleId="ListLabel2048" w:customStyle="1">
    <w:name w:val="ListLabel 2048"/>
    <w:qFormat/>
    <w:rPr>
      <w:rFonts w:eastAsia="Times New Roman"/>
    </w:rPr>
  </w:style>
  <w:style w:type="character" w:styleId="ListLabel2047" w:customStyle="1">
    <w:name w:val="ListLabel 2047"/>
    <w:qFormat/>
    <w:rPr>
      <w:rFonts w:eastAsia="Times New Roman"/>
    </w:rPr>
  </w:style>
  <w:style w:type="character" w:styleId="ListLabel2046" w:customStyle="1">
    <w:name w:val="ListLabel 2046"/>
    <w:qFormat/>
    <w:rPr>
      <w:rFonts w:eastAsia="Times New Roman"/>
    </w:rPr>
  </w:style>
  <w:style w:type="character" w:styleId="ListLabel2045" w:customStyle="1">
    <w:name w:val="ListLabel 2045"/>
    <w:qFormat/>
    <w:rPr>
      <w:rFonts w:ascii="Calibri" w:hAnsi="Calibri" w:eastAsia="Times New Roman"/>
    </w:rPr>
  </w:style>
  <w:style w:type="character" w:styleId="ListLabel2044" w:customStyle="1">
    <w:name w:val="ListLabel 2044"/>
    <w:qFormat/>
    <w:rPr>
      <w:rFonts w:eastAsia="Wingdings"/>
    </w:rPr>
  </w:style>
  <w:style w:type="character" w:styleId="ListLabel2043" w:customStyle="1">
    <w:name w:val="ListLabel 2043"/>
    <w:qFormat/>
    <w:rPr>
      <w:rFonts w:eastAsia="Courier New"/>
    </w:rPr>
  </w:style>
  <w:style w:type="character" w:styleId="ListLabel2042" w:customStyle="1">
    <w:name w:val="ListLabel 2042"/>
    <w:qFormat/>
    <w:rPr>
      <w:rFonts w:eastAsia="Symbol"/>
    </w:rPr>
  </w:style>
  <w:style w:type="character" w:styleId="ListLabel2041" w:customStyle="1">
    <w:name w:val="ListLabel 2041"/>
    <w:qFormat/>
    <w:rPr>
      <w:rFonts w:eastAsia="Wingdings"/>
    </w:rPr>
  </w:style>
  <w:style w:type="character" w:styleId="ListLabel2040" w:customStyle="1">
    <w:name w:val="ListLabel 2040"/>
    <w:qFormat/>
    <w:rPr>
      <w:rFonts w:eastAsia="Courier New"/>
    </w:rPr>
  </w:style>
  <w:style w:type="character" w:styleId="ListLabel2039" w:customStyle="1">
    <w:name w:val="ListLabel 2039"/>
    <w:qFormat/>
    <w:rPr>
      <w:rFonts w:eastAsia="Symbol"/>
    </w:rPr>
  </w:style>
  <w:style w:type="character" w:styleId="ListLabel2038" w:customStyle="1">
    <w:name w:val="ListLabel 2038"/>
    <w:qFormat/>
    <w:rPr>
      <w:rFonts w:eastAsia="Wingdings"/>
    </w:rPr>
  </w:style>
  <w:style w:type="character" w:styleId="ListLabel2037" w:customStyle="1">
    <w:name w:val="ListLabel 2037"/>
    <w:qFormat/>
    <w:rPr>
      <w:rFonts w:eastAsia="Courier New"/>
    </w:rPr>
  </w:style>
  <w:style w:type="character" w:styleId="ListLabel2036" w:customStyle="1">
    <w:name w:val="ListLabel 2036"/>
    <w:qFormat/>
    <w:rPr>
      <w:rFonts w:eastAsia="Wingdings"/>
      <w:color w:val="auto"/>
    </w:rPr>
  </w:style>
  <w:style w:type="character" w:styleId="ListLabel2035" w:customStyle="1">
    <w:name w:val="ListLabel 2035"/>
    <w:qFormat/>
    <w:rPr>
      <w:rFonts w:eastAsia="Times New Roman"/>
    </w:rPr>
  </w:style>
  <w:style w:type="character" w:styleId="ListLabel2034" w:customStyle="1">
    <w:name w:val="ListLabel 2034"/>
    <w:qFormat/>
    <w:rPr>
      <w:rFonts w:eastAsia="Times New Roman"/>
    </w:rPr>
  </w:style>
  <w:style w:type="character" w:styleId="ListLabel2033" w:customStyle="1">
    <w:name w:val="ListLabel 2033"/>
    <w:qFormat/>
    <w:rPr>
      <w:rFonts w:eastAsia="Times New Roman"/>
    </w:rPr>
  </w:style>
  <w:style w:type="character" w:styleId="ListLabel2032" w:customStyle="1">
    <w:name w:val="ListLabel 2032"/>
    <w:qFormat/>
    <w:rPr>
      <w:rFonts w:eastAsia="Times New Roman"/>
    </w:rPr>
  </w:style>
  <w:style w:type="character" w:styleId="ListLabel2031" w:customStyle="1">
    <w:name w:val="ListLabel 2031"/>
    <w:qFormat/>
    <w:rPr>
      <w:rFonts w:eastAsia="Times New Roman"/>
    </w:rPr>
  </w:style>
  <w:style w:type="character" w:styleId="ListLabel2030" w:customStyle="1">
    <w:name w:val="ListLabel 2030"/>
    <w:qFormat/>
    <w:rPr>
      <w:rFonts w:eastAsia="Times New Roman"/>
    </w:rPr>
  </w:style>
  <w:style w:type="character" w:styleId="ListLabel2029" w:customStyle="1">
    <w:name w:val="ListLabel 2029"/>
    <w:qFormat/>
    <w:rPr>
      <w:rFonts w:eastAsia="Times New Roman"/>
    </w:rPr>
  </w:style>
  <w:style w:type="character" w:styleId="ListLabel2028" w:customStyle="1">
    <w:name w:val="ListLabel 2028"/>
    <w:qFormat/>
    <w:rPr>
      <w:rFonts w:eastAsia="Times New Roman"/>
    </w:rPr>
  </w:style>
  <w:style w:type="character" w:styleId="ListLabel2027" w:customStyle="1">
    <w:name w:val="ListLabel 2027"/>
    <w:qFormat/>
    <w:rPr>
      <w:rFonts w:eastAsia="Times New Roman"/>
      <w:sz w:val="16"/>
    </w:rPr>
  </w:style>
  <w:style w:type="character" w:styleId="ListLabel2026" w:customStyle="1">
    <w:name w:val="ListLabel 2026"/>
    <w:qFormat/>
    <w:rPr>
      <w:rFonts w:eastAsia="Times New Roman"/>
      <w:sz w:val="22"/>
    </w:rPr>
  </w:style>
  <w:style w:type="character" w:styleId="ListLabel2025" w:customStyle="1">
    <w:name w:val="ListLabel 2025"/>
    <w:qFormat/>
    <w:rPr>
      <w:rFonts w:eastAsia="Tahoma"/>
      <w:sz w:val="22"/>
      <w:lang w:eastAsia="el-GR"/>
    </w:rPr>
  </w:style>
  <w:style w:type="character" w:styleId="ListLabel2024" w:customStyle="1">
    <w:name w:val="ListLabel 2024"/>
    <w:qFormat/>
    <w:rPr>
      <w:rFonts w:eastAsia="Tahoma"/>
      <w:sz w:val="22"/>
      <w:lang w:eastAsia="en-US"/>
    </w:rPr>
  </w:style>
  <w:style w:type="character" w:styleId="ListLabel2023" w:customStyle="1">
    <w:name w:val="ListLabel 2023"/>
    <w:qFormat/>
    <w:rPr>
      <w:rFonts w:eastAsia="Calibri"/>
    </w:rPr>
  </w:style>
  <w:style w:type="character" w:styleId="ListLabel2022" w:customStyle="1">
    <w:name w:val="ListLabel 2022"/>
    <w:qFormat/>
    <w:rPr>
      <w:rFonts w:ascii="Calibri" w:hAnsi="Calibri" w:eastAsia="Calibri"/>
      <w:sz w:val="22"/>
    </w:rPr>
  </w:style>
  <w:style w:type="character" w:styleId="ListLabel2021" w:customStyle="1">
    <w:name w:val="ListLabel 2021"/>
    <w:qFormat/>
    <w:rPr>
      <w:rFonts w:eastAsia="Tahoma"/>
      <w:color w:val="auto"/>
      <w:sz w:val="22"/>
      <w:lang w:eastAsia="el-GR"/>
    </w:rPr>
  </w:style>
  <w:style w:type="character" w:styleId="ListLabel2020" w:customStyle="1">
    <w:name w:val="ListLabel 2020"/>
    <w:qFormat/>
    <w:rPr>
      <w:rFonts w:eastAsia="Tahoma"/>
      <w:i/>
      <w:color w:val="auto"/>
      <w:sz w:val="22"/>
    </w:rPr>
  </w:style>
  <w:style w:type="character" w:styleId="ListLabel2019" w:customStyle="1">
    <w:name w:val="ListLabel 2019"/>
    <w:qFormat/>
    <w:rPr>
      <w:rFonts w:eastAsia="Calibri"/>
      <w:b/>
      <w:sz w:val="22"/>
      <w:lang w:eastAsia="el-GR"/>
    </w:rPr>
  </w:style>
  <w:style w:type="character" w:styleId="ListLabel2018" w:customStyle="1">
    <w:name w:val="ListLabel 2018"/>
    <w:qFormat/>
    <w:rPr>
      <w:rFonts w:eastAsia="Calibri"/>
      <w:b/>
      <w:sz w:val="22"/>
      <w:lang w:eastAsia="en-US"/>
    </w:rPr>
  </w:style>
  <w:style w:type="character" w:styleId="ListLabel2017" w:customStyle="1">
    <w:name w:val="ListLabel 2017"/>
    <w:qFormat/>
    <w:rPr>
      <w:rFonts w:eastAsia="Calibri"/>
      <w:lang w:eastAsia="el-GR"/>
    </w:rPr>
  </w:style>
  <w:style w:type="character" w:styleId="ListLabel2016" w:customStyle="1">
    <w:name w:val="ListLabel 2016"/>
    <w:qFormat/>
    <w:rPr>
      <w:rFonts w:eastAsia="Calibri"/>
    </w:rPr>
  </w:style>
  <w:style w:type="character" w:styleId="ListLabel2015" w:customStyle="1">
    <w:name w:val="ListLabel 2015"/>
    <w:qFormat/>
    <w:rPr>
      <w:rFonts w:eastAsia="Calibri"/>
      <w:b/>
      <w:color w:val="0000FF"/>
      <w:sz w:val="22"/>
      <w:u w:val="single"/>
      <w:lang w:eastAsia="el-GR"/>
    </w:rPr>
  </w:style>
  <w:style w:type="character" w:styleId="ListLabel2014" w:customStyle="1">
    <w:name w:val="ListLabel 2014"/>
    <w:qFormat/>
    <w:rPr>
      <w:rFonts w:eastAsia="Calibri"/>
      <w:b/>
      <w:sz w:val="22"/>
      <w:lang w:eastAsia="en-US"/>
    </w:rPr>
  </w:style>
  <w:style w:type="character" w:styleId="ListLabel2013" w:customStyle="1">
    <w:name w:val="ListLabel 2013"/>
    <w:qFormat/>
    <w:rPr>
      <w:rFonts w:eastAsia="Calibri"/>
      <w:b/>
      <w:sz w:val="22"/>
    </w:rPr>
  </w:style>
  <w:style w:type="character" w:styleId="ListLabel2012" w:customStyle="1">
    <w:name w:val="ListLabel 2012"/>
    <w:qFormat/>
    <w:rPr>
      <w:rFonts w:eastAsia="Calibri"/>
      <w:b/>
      <w:sz w:val="22"/>
      <w:lang w:eastAsia="el-GR"/>
    </w:rPr>
  </w:style>
  <w:style w:type="character" w:styleId="ListLabel2011" w:customStyle="1">
    <w:name w:val="ListLabel 2011"/>
    <w:qFormat/>
    <w:rPr>
      <w:rFonts w:eastAsia="Calibri"/>
      <w:b/>
      <w:sz w:val="22"/>
      <w:lang w:eastAsia="el-GR"/>
    </w:rPr>
  </w:style>
  <w:style w:type="character" w:styleId="ListLabel2010" w:customStyle="1">
    <w:name w:val="ListLabel 2010"/>
    <w:qFormat/>
    <w:rPr>
      <w:rFonts w:eastAsia="Calibri"/>
      <w:b/>
      <w:sz w:val="22"/>
      <w:lang w:eastAsia="el-GR"/>
    </w:rPr>
  </w:style>
  <w:style w:type="character" w:styleId="ListLabel2009" w:customStyle="1">
    <w:name w:val="ListLabel 2009"/>
    <w:qFormat/>
    <w:rPr>
      <w:rFonts w:eastAsia="Calibri"/>
      <w:b/>
      <w:sz w:val="22"/>
      <w:lang w:eastAsia="el-GR"/>
    </w:rPr>
  </w:style>
  <w:style w:type="character" w:styleId="ListLabel2008" w:customStyle="1">
    <w:name w:val="ListLabel 2008"/>
    <w:qFormat/>
    <w:rPr>
      <w:rFonts w:eastAsia="Calibri"/>
      <w:color w:val="0000FF"/>
      <w:sz w:val="22"/>
      <w:u w:val="single"/>
      <w:lang w:eastAsia="el-GR"/>
    </w:rPr>
  </w:style>
  <w:style w:type="character" w:styleId="ListLabel2007" w:customStyle="1">
    <w:name w:val="ListLabel 2007"/>
    <w:qFormat/>
    <w:rPr>
      <w:rFonts w:eastAsia="Calibri"/>
      <w:sz w:val="22"/>
    </w:rPr>
  </w:style>
  <w:style w:type="character" w:styleId="ListLabel2006" w:customStyle="1">
    <w:name w:val="ListLabel 2006"/>
    <w:qFormat/>
    <w:rPr>
      <w:rFonts w:eastAsia="Calibri"/>
      <w:sz w:val="22"/>
      <w:lang w:eastAsia="en-US"/>
    </w:rPr>
  </w:style>
  <w:style w:type="character" w:styleId="ListLabel2005" w:customStyle="1">
    <w:name w:val="ListLabel 2005"/>
    <w:qFormat/>
    <w:rPr>
      <w:rFonts w:eastAsia="Symbol"/>
    </w:rPr>
  </w:style>
  <w:style w:type="character" w:styleId="ListLabel2004" w:customStyle="1">
    <w:name w:val="ListLabel 2004"/>
    <w:qFormat/>
    <w:rPr>
      <w:rFonts w:eastAsia="Symbol"/>
    </w:rPr>
  </w:style>
  <w:style w:type="character" w:styleId="ListLabel2003" w:customStyle="1">
    <w:name w:val="ListLabel 2003"/>
    <w:qFormat/>
    <w:rPr>
      <w:rFonts w:eastAsia="Symbol"/>
    </w:rPr>
  </w:style>
  <w:style w:type="character" w:styleId="ListLabel2002" w:customStyle="1">
    <w:name w:val="ListLabel 2002"/>
    <w:qFormat/>
    <w:rPr>
      <w:rFonts w:eastAsia="Symbol"/>
    </w:rPr>
  </w:style>
  <w:style w:type="character" w:styleId="ListLabel2001" w:customStyle="1">
    <w:name w:val="ListLabel 2001"/>
    <w:qFormat/>
    <w:rPr>
      <w:rFonts w:eastAsia="Symbol"/>
    </w:rPr>
  </w:style>
  <w:style w:type="character" w:styleId="ListLabel2000" w:customStyle="1">
    <w:name w:val="ListLabel 2000"/>
    <w:qFormat/>
    <w:rPr>
      <w:rFonts w:eastAsia="Symbol"/>
    </w:rPr>
  </w:style>
  <w:style w:type="character" w:styleId="ListLabel1999" w:customStyle="1">
    <w:name w:val="ListLabel 1999"/>
    <w:qFormat/>
    <w:rPr>
      <w:rFonts w:eastAsia="Symbol"/>
    </w:rPr>
  </w:style>
  <w:style w:type="character" w:styleId="ListLabel1998" w:customStyle="1">
    <w:name w:val="ListLabel 1998"/>
    <w:qFormat/>
    <w:rPr>
      <w:rFonts w:eastAsia="Symbol"/>
    </w:rPr>
  </w:style>
  <w:style w:type="character" w:styleId="ListLabel1997" w:customStyle="1">
    <w:name w:val="ListLabel 1997"/>
    <w:qFormat/>
    <w:rPr>
      <w:rFonts w:eastAsia="Symbol"/>
    </w:rPr>
  </w:style>
  <w:style w:type="character" w:styleId="ListLabel1996" w:customStyle="1">
    <w:name w:val="ListLabel 1996"/>
    <w:qFormat/>
    <w:rPr>
      <w:rFonts w:eastAsia="Wingdings"/>
    </w:rPr>
  </w:style>
  <w:style w:type="character" w:styleId="ListLabel1995" w:customStyle="1">
    <w:name w:val="ListLabel 1995"/>
    <w:qFormat/>
    <w:rPr>
      <w:rFonts w:eastAsia="Courier New"/>
    </w:rPr>
  </w:style>
  <w:style w:type="character" w:styleId="ListLabel1994" w:customStyle="1">
    <w:name w:val="ListLabel 1994"/>
    <w:qFormat/>
    <w:rPr>
      <w:rFonts w:eastAsia="Symbol"/>
    </w:rPr>
  </w:style>
  <w:style w:type="character" w:styleId="ListLabel1993" w:customStyle="1">
    <w:name w:val="ListLabel 1993"/>
    <w:qFormat/>
    <w:rPr>
      <w:rFonts w:eastAsia="Wingdings"/>
    </w:rPr>
  </w:style>
  <w:style w:type="character" w:styleId="ListLabel1992" w:customStyle="1">
    <w:name w:val="ListLabel 1992"/>
    <w:qFormat/>
    <w:rPr>
      <w:rFonts w:eastAsia="Courier New"/>
    </w:rPr>
  </w:style>
  <w:style w:type="character" w:styleId="ListLabel1991" w:customStyle="1">
    <w:name w:val="ListLabel 1991"/>
    <w:qFormat/>
    <w:rPr>
      <w:rFonts w:eastAsia="Symbol"/>
    </w:rPr>
  </w:style>
  <w:style w:type="character" w:styleId="ListLabel1990" w:customStyle="1">
    <w:name w:val="ListLabel 1990"/>
    <w:qFormat/>
    <w:rPr>
      <w:rFonts w:eastAsia="Wingdings"/>
    </w:rPr>
  </w:style>
  <w:style w:type="character" w:styleId="ListLabel1989" w:customStyle="1">
    <w:name w:val="ListLabel 1989"/>
    <w:qFormat/>
    <w:rPr>
      <w:rFonts w:eastAsia="Courier New"/>
    </w:rPr>
  </w:style>
  <w:style w:type="character" w:styleId="ListLabel1988" w:customStyle="1">
    <w:name w:val="ListLabel 1988"/>
    <w:qFormat/>
    <w:rPr>
      <w:rFonts w:ascii="Calibri" w:hAnsi="Calibri" w:eastAsia="Wingdings"/>
      <w:b/>
      <w:sz w:val="22"/>
    </w:rPr>
  </w:style>
  <w:style w:type="character" w:styleId="ListLabel1987" w:customStyle="1">
    <w:name w:val="ListLabel 1987"/>
    <w:qFormat/>
    <w:rPr>
      <w:rFonts w:eastAsia="Wingdings"/>
    </w:rPr>
  </w:style>
  <w:style w:type="character" w:styleId="ListLabel1986" w:customStyle="1">
    <w:name w:val="ListLabel 1986"/>
    <w:qFormat/>
    <w:rPr>
      <w:rFonts w:eastAsia="Courier New"/>
    </w:rPr>
  </w:style>
  <w:style w:type="character" w:styleId="ListLabel1985" w:customStyle="1">
    <w:name w:val="ListLabel 1985"/>
    <w:qFormat/>
    <w:rPr>
      <w:rFonts w:eastAsia="Symbol"/>
    </w:rPr>
  </w:style>
  <w:style w:type="character" w:styleId="ListLabel1984" w:customStyle="1">
    <w:name w:val="ListLabel 1984"/>
    <w:qFormat/>
    <w:rPr>
      <w:rFonts w:eastAsia="Wingdings"/>
    </w:rPr>
  </w:style>
  <w:style w:type="character" w:styleId="ListLabel1983" w:customStyle="1">
    <w:name w:val="ListLabel 1983"/>
    <w:qFormat/>
    <w:rPr>
      <w:rFonts w:eastAsia="Courier New"/>
    </w:rPr>
  </w:style>
  <w:style w:type="character" w:styleId="ListLabel1982" w:customStyle="1">
    <w:name w:val="ListLabel 1982"/>
    <w:qFormat/>
    <w:rPr>
      <w:rFonts w:eastAsia="Symbol"/>
    </w:rPr>
  </w:style>
  <w:style w:type="character" w:styleId="ListLabel1981" w:customStyle="1">
    <w:name w:val="ListLabel 1981"/>
    <w:qFormat/>
    <w:rPr>
      <w:rFonts w:eastAsia="Wingdings"/>
    </w:rPr>
  </w:style>
  <w:style w:type="character" w:styleId="ListLabel1980" w:customStyle="1">
    <w:name w:val="ListLabel 1980"/>
    <w:qFormat/>
    <w:rPr>
      <w:rFonts w:eastAsia="Courier New"/>
    </w:rPr>
  </w:style>
  <w:style w:type="character" w:styleId="ListLabel1979" w:customStyle="1">
    <w:name w:val="ListLabel 1979"/>
    <w:qFormat/>
    <w:rPr>
      <w:rFonts w:eastAsia="Wingdings"/>
    </w:rPr>
  </w:style>
  <w:style w:type="character" w:styleId="ListLabel1978" w:customStyle="1">
    <w:name w:val="ListLabel 1978"/>
    <w:qFormat/>
    <w:rPr>
      <w:rFonts w:eastAsia="Calibri"/>
      <w:b w:val="false"/>
      <w:i/>
      <w:sz w:val="22"/>
    </w:rPr>
  </w:style>
  <w:style w:type="character" w:styleId="ListLabel1977" w:customStyle="1">
    <w:name w:val="ListLabel 1977"/>
    <w:qFormat/>
    <w:rPr>
      <w:rFonts w:eastAsia="Wingdings"/>
    </w:rPr>
  </w:style>
  <w:style w:type="character" w:styleId="ListLabel1976" w:customStyle="1">
    <w:name w:val="ListLabel 1976"/>
    <w:qFormat/>
    <w:rPr>
      <w:rFonts w:eastAsia="Courier New"/>
    </w:rPr>
  </w:style>
  <w:style w:type="character" w:styleId="ListLabel1975" w:customStyle="1">
    <w:name w:val="ListLabel 1975"/>
    <w:qFormat/>
    <w:rPr>
      <w:rFonts w:eastAsia="Symbol"/>
    </w:rPr>
  </w:style>
  <w:style w:type="character" w:styleId="ListLabel1974" w:customStyle="1">
    <w:name w:val="ListLabel 1974"/>
    <w:qFormat/>
    <w:rPr>
      <w:rFonts w:eastAsia="Wingdings"/>
    </w:rPr>
  </w:style>
  <w:style w:type="character" w:styleId="ListLabel1973" w:customStyle="1">
    <w:name w:val="ListLabel 1973"/>
    <w:qFormat/>
    <w:rPr>
      <w:rFonts w:eastAsia="Courier New"/>
    </w:rPr>
  </w:style>
  <w:style w:type="character" w:styleId="ListLabel1972" w:customStyle="1">
    <w:name w:val="ListLabel 1972"/>
    <w:qFormat/>
    <w:rPr>
      <w:rFonts w:eastAsia="Symbol"/>
    </w:rPr>
  </w:style>
  <w:style w:type="character" w:styleId="ListLabel1971" w:customStyle="1">
    <w:name w:val="ListLabel 1971"/>
    <w:qFormat/>
    <w:rPr>
      <w:rFonts w:eastAsia="Wingdings"/>
    </w:rPr>
  </w:style>
  <w:style w:type="character" w:styleId="ListLabel1970" w:customStyle="1">
    <w:name w:val="ListLabel 1970"/>
    <w:qFormat/>
    <w:rPr>
      <w:rFonts w:eastAsia="Courier New"/>
    </w:rPr>
  </w:style>
  <w:style w:type="character" w:styleId="ListLabel1969" w:customStyle="1">
    <w:name w:val="ListLabel 1969"/>
    <w:qFormat/>
    <w:rPr>
      <w:rFonts w:ascii="Calibri" w:hAnsi="Calibri" w:eastAsia="Symbol"/>
      <w:sz w:val="22"/>
    </w:rPr>
  </w:style>
  <w:style w:type="character" w:styleId="ListLabel1968" w:customStyle="1">
    <w:name w:val="ListLabel 1968"/>
    <w:qFormat/>
    <w:rPr>
      <w:rFonts w:eastAsia="Symbol"/>
      <w:b/>
      <w:lang w:eastAsia="el-GR"/>
    </w:rPr>
  </w:style>
  <w:style w:type="character" w:styleId="ListLabel1967" w:customStyle="1">
    <w:name w:val="ListLabel 1967"/>
    <w:qFormat/>
    <w:rPr>
      <w:rFonts w:eastAsia="Wingdings"/>
    </w:rPr>
  </w:style>
  <w:style w:type="character" w:styleId="ListLabel1966" w:customStyle="1">
    <w:name w:val="ListLabel 1966"/>
    <w:qFormat/>
    <w:rPr>
      <w:rFonts w:eastAsia="Courier New"/>
    </w:rPr>
  </w:style>
  <w:style w:type="character" w:styleId="ListLabel1965" w:customStyle="1">
    <w:name w:val="ListLabel 1965"/>
    <w:qFormat/>
    <w:rPr>
      <w:rFonts w:eastAsia="Symbol"/>
    </w:rPr>
  </w:style>
  <w:style w:type="character" w:styleId="ListLabel1964" w:customStyle="1">
    <w:name w:val="ListLabel 1964"/>
    <w:qFormat/>
    <w:rPr>
      <w:rFonts w:eastAsia="Wingdings"/>
    </w:rPr>
  </w:style>
  <w:style w:type="character" w:styleId="ListLabel1963" w:customStyle="1">
    <w:name w:val="ListLabel 1963"/>
    <w:qFormat/>
    <w:rPr>
      <w:rFonts w:eastAsia="Courier New"/>
    </w:rPr>
  </w:style>
  <w:style w:type="character" w:styleId="ListLabel1962" w:customStyle="1">
    <w:name w:val="ListLabel 1962"/>
    <w:qFormat/>
    <w:rPr>
      <w:rFonts w:eastAsia="Symbol"/>
    </w:rPr>
  </w:style>
  <w:style w:type="character" w:styleId="ListLabel1961" w:customStyle="1">
    <w:name w:val="ListLabel 1961"/>
    <w:qFormat/>
    <w:rPr>
      <w:rFonts w:eastAsia="Wingdings"/>
    </w:rPr>
  </w:style>
  <w:style w:type="character" w:styleId="ListLabel1960" w:customStyle="1">
    <w:name w:val="ListLabel 1960"/>
    <w:qFormat/>
    <w:rPr>
      <w:rFonts w:eastAsia="Courier New"/>
    </w:rPr>
  </w:style>
  <w:style w:type="character" w:styleId="ListLabel1959" w:customStyle="1">
    <w:name w:val="ListLabel 1959"/>
    <w:qFormat/>
    <w:rPr>
      <w:rFonts w:eastAsia="Symbol"/>
    </w:rPr>
  </w:style>
  <w:style w:type="character" w:styleId="ListLabel1958" w:customStyle="1">
    <w:name w:val="ListLabel 1958"/>
    <w:qFormat/>
    <w:rPr>
      <w:rFonts w:eastAsia="Times New Roman"/>
    </w:rPr>
  </w:style>
  <w:style w:type="character" w:styleId="ListLabel1957" w:customStyle="1">
    <w:name w:val="ListLabel 1957"/>
    <w:qFormat/>
    <w:rPr>
      <w:rFonts w:eastAsia="Times New Roman"/>
    </w:rPr>
  </w:style>
  <w:style w:type="character" w:styleId="ListLabel1956" w:customStyle="1">
    <w:name w:val="ListLabel 1956"/>
    <w:qFormat/>
    <w:rPr>
      <w:rFonts w:eastAsia="Times New Roman"/>
    </w:rPr>
  </w:style>
  <w:style w:type="character" w:styleId="ListLabel1955" w:customStyle="1">
    <w:name w:val="ListLabel 1955"/>
    <w:qFormat/>
    <w:rPr>
      <w:rFonts w:eastAsia="Times New Roman"/>
    </w:rPr>
  </w:style>
  <w:style w:type="character" w:styleId="ListLabel1954" w:customStyle="1">
    <w:name w:val="ListLabel 1954"/>
    <w:qFormat/>
    <w:rPr>
      <w:rFonts w:eastAsia="Times New Roman"/>
    </w:rPr>
  </w:style>
  <w:style w:type="character" w:styleId="ListLabel1953" w:customStyle="1">
    <w:name w:val="ListLabel 1953"/>
    <w:qFormat/>
    <w:rPr>
      <w:rFonts w:eastAsia="Times New Roman"/>
    </w:rPr>
  </w:style>
  <w:style w:type="character" w:styleId="ListLabel1952" w:customStyle="1">
    <w:name w:val="ListLabel 1952"/>
    <w:qFormat/>
    <w:rPr>
      <w:rFonts w:eastAsia="Times New Roman"/>
    </w:rPr>
  </w:style>
  <w:style w:type="character" w:styleId="ListLabel1951" w:customStyle="1">
    <w:name w:val="ListLabel 1951"/>
    <w:qFormat/>
    <w:rPr>
      <w:rFonts w:eastAsia="Times New Roman"/>
    </w:rPr>
  </w:style>
  <w:style w:type="character" w:styleId="ListLabel1950" w:customStyle="1">
    <w:name w:val="ListLabel 1950"/>
    <w:qFormat/>
    <w:rPr>
      <w:rFonts w:ascii="Calibri" w:hAnsi="Calibri" w:eastAsia="Times New Roman"/>
    </w:rPr>
  </w:style>
  <w:style w:type="character" w:styleId="ListLabel1949" w:customStyle="1">
    <w:name w:val="ListLabel 1949"/>
    <w:qFormat/>
    <w:rPr>
      <w:rFonts w:eastAsia="Wingdings"/>
    </w:rPr>
  </w:style>
  <w:style w:type="character" w:styleId="ListLabel1948" w:customStyle="1">
    <w:name w:val="ListLabel 1948"/>
    <w:qFormat/>
    <w:rPr>
      <w:rFonts w:eastAsia="Courier New"/>
    </w:rPr>
  </w:style>
  <w:style w:type="character" w:styleId="ListLabel1947" w:customStyle="1">
    <w:name w:val="ListLabel 1947"/>
    <w:qFormat/>
    <w:rPr>
      <w:rFonts w:eastAsia="Symbol"/>
    </w:rPr>
  </w:style>
  <w:style w:type="character" w:styleId="ListLabel1946" w:customStyle="1">
    <w:name w:val="ListLabel 1946"/>
    <w:qFormat/>
    <w:rPr>
      <w:rFonts w:eastAsia="Wingdings"/>
    </w:rPr>
  </w:style>
  <w:style w:type="character" w:styleId="ListLabel1945" w:customStyle="1">
    <w:name w:val="ListLabel 1945"/>
    <w:qFormat/>
    <w:rPr>
      <w:rFonts w:eastAsia="Courier New"/>
    </w:rPr>
  </w:style>
  <w:style w:type="character" w:styleId="ListLabel1944" w:customStyle="1">
    <w:name w:val="ListLabel 1944"/>
    <w:qFormat/>
    <w:rPr>
      <w:rFonts w:eastAsia="Symbol"/>
    </w:rPr>
  </w:style>
  <w:style w:type="character" w:styleId="ListLabel1943" w:customStyle="1">
    <w:name w:val="ListLabel 1943"/>
    <w:qFormat/>
    <w:rPr>
      <w:rFonts w:eastAsia="Wingdings"/>
    </w:rPr>
  </w:style>
  <w:style w:type="character" w:styleId="ListLabel1942" w:customStyle="1">
    <w:name w:val="ListLabel 1942"/>
    <w:qFormat/>
    <w:rPr>
      <w:rFonts w:eastAsia="Courier New"/>
    </w:rPr>
  </w:style>
  <w:style w:type="character" w:styleId="ListLabel1941" w:customStyle="1">
    <w:name w:val="ListLabel 1941"/>
    <w:qFormat/>
    <w:rPr>
      <w:rFonts w:eastAsia="Wingdings"/>
      <w:color w:val="auto"/>
    </w:rPr>
  </w:style>
  <w:style w:type="character" w:styleId="ListLabel1940" w:customStyle="1">
    <w:name w:val="ListLabel 1940"/>
    <w:qFormat/>
    <w:rPr>
      <w:rFonts w:eastAsia="Times New Roman"/>
    </w:rPr>
  </w:style>
  <w:style w:type="character" w:styleId="ListLabel1939" w:customStyle="1">
    <w:name w:val="ListLabel 1939"/>
    <w:qFormat/>
    <w:rPr>
      <w:rFonts w:eastAsia="Times New Roman"/>
    </w:rPr>
  </w:style>
  <w:style w:type="character" w:styleId="ListLabel1938" w:customStyle="1">
    <w:name w:val="ListLabel 1938"/>
    <w:qFormat/>
    <w:rPr>
      <w:rFonts w:eastAsia="Times New Roman"/>
    </w:rPr>
  </w:style>
  <w:style w:type="character" w:styleId="ListLabel1937" w:customStyle="1">
    <w:name w:val="ListLabel 1937"/>
    <w:qFormat/>
    <w:rPr>
      <w:rFonts w:eastAsia="Times New Roman"/>
    </w:rPr>
  </w:style>
  <w:style w:type="character" w:styleId="ListLabel1936" w:customStyle="1">
    <w:name w:val="ListLabel 1936"/>
    <w:qFormat/>
    <w:rPr>
      <w:rFonts w:eastAsia="Times New Roman"/>
    </w:rPr>
  </w:style>
  <w:style w:type="character" w:styleId="ListLabel1935" w:customStyle="1">
    <w:name w:val="ListLabel 1935"/>
    <w:qFormat/>
    <w:rPr>
      <w:rFonts w:eastAsia="Times New Roman"/>
    </w:rPr>
  </w:style>
  <w:style w:type="character" w:styleId="ListLabel1934" w:customStyle="1">
    <w:name w:val="ListLabel 1934"/>
    <w:qFormat/>
    <w:rPr>
      <w:rFonts w:eastAsia="Times New Roman"/>
    </w:rPr>
  </w:style>
  <w:style w:type="character" w:styleId="ListLabel1933" w:customStyle="1">
    <w:name w:val="ListLabel 1933"/>
    <w:qFormat/>
    <w:rPr>
      <w:rFonts w:eastAsia="Times New Roman"/>
    </w:rPr>
  </w:style>
  <w:style w:type="character" w:styleId="ListLabel1932" w:customStyle="1">
    <w:name w:val="ListLabel 1932"/>
    <w:qFormat/>
    <w:rPr>
      <w:rFonts w:eastAsia="Times New Roman"/>
      <w:sz w:val="16"/>
    </w:rPr>
  </w:style>
  <w:style w:type="character" w:styleId="ListLabel1931" w:customStyle="1">
    <w:name w:val="ListLabel 1931"/>
    <w:qFormat/>
    <w:rPr>
      <w:rFonts w:eastAsia="Times New Roman"/>
      <w:sz w:val="22"/>
    </w:rPr>
  </w:style>
  <w:style w:type="character" w:styleId="ListLabel1930" w:customStyle="1">
    <w:name w:val="ListLabel 1930"/>
    <w:qFormat/>
    <w:rPr>
      <w:rFonts w:eastAsia="Tahoma"/>
      <w:sz w:val="22"/>
      <w:lang w:eastAsia="el-GR"/>
    </w:rPr>
  </w:style>
  <w:style w:type="character" w:styleId="ListLabel1929" w:customStyle="1">
    <w:name w:val="ListLabel 1929"/>
    <w:qFormat/>
    <w:rPr>
      <w:rFonts w:eastAsia="Tahoma"/>
      <w:sz w:val="22"/>
      <w:lang w:eastAsia="en-US"/>
    </w:rPr>
  </w:style>
  <w:style w:type="character" w:styleId="ListLabel1928" w:customStyle="1">
    <w:name w:val="ListLabel 1928"/>
    <w:qFormat/>
    <w:rPr>
      <w:rFonts w:eastAsia="Calibri"/>
    </w:rPr>
  </w:style>
  <w:style w:type="character" w:styleId="ListLabel1927" w:customStyle="1">
    <w:name w:val="ListLabel 1927"/>
    <w:qFormat/>
    <w:rPr>
      <w:rFonts w:ascii="Calibri" w:hAnsi="Calibri" w:eastAsia="Calibri"/>
      <w:sz w:val="22"/>
    </w:rPr>
  </w:style>
  <w:style w:type="character" w:styleId="ListLabel1926" w:customStyle="1">
    <w:name w:val="ListLabel 1926"/>
    <w:qFormat/>
    <w:rPr>
      <w:rFonts w:eastAsia="Tahoma"/>
      <w:color w:val="auto"/>
      <w:sz w:val="22"/>
      <w:lang w:eastAsia="el-GR"/>
    </w:rPr>
  </w:style>
  <w:style w:type="character" w:styleId="ListLabel1925" w:customStyle="1">
    <w:name w:val="ListLabel 1925"/>
    <w:qFormat/>
    <w:rPr>
      <w:rFonts w:eastAsia="Tahoma"/>
      <w:i/>
      <w:color w:val="auto"/>
      <w:sz w:val="22"/>
    </w:rPr>
  </w:style>
  <w:style w:type="character" w:styleId="ListLabel1924" w:customStyle="1">
    <w:name w:val="ListLabel 1924"/>
    <w:qFormat/>
    <w:rPr>
      <w:rFonts w:eastAsia="Calibri"/>
      <w:b/>
      <w:sz w:val="22"/>
      <w:lang w:eastAsia="el-GR"/>
    </w:rPr>
  </w:style>
  <w:style w:type="character" w:styleId="ListLabel1923" w:customStyle="1">
    <w:name w:val="ListLabel 1923"/>
    <w:qFormat/>
    <w:rPr>
      <w:rFonts w:eastAsia="Calibri"/>
      <w:b/>
      <w:sz w:val="22"/>
      <w:lang w:eastAsia="en-US"/>
    </w:rPr>
  </w:style>
  <w:style w:type="character" w:styleId="ListLabel1922" w:customStyle="1">
    <w:name w:val="ListLabel 1922"/>
    <w:qFormat/>
    <w:rPr>
      <w:rFonts w:eastAsia="Calibri"/>
      <w:lang w:eastAsia="el-GR"/>
    </w:rPr>
  </w:style>
  <w:style w:type="character" w:styleId="ListLabel1921" w:customStyle="1">
    <w:name w:val="ListLabel 1921"/>
    <w:qFormat/>
    <w:rPr>
      <w:rFonts w:eastAsia="Calibri"/>
    </w:rPr>
  </w:style>
  <w:style w:type="character" w:styleId="ListLabel1920" w:customStyle="1">
    <w:name w:val="ListLabel 1920"/>
    <w:qFormat/>
    <w:rPr>
      <w:rFonts w:eastAsia="Calibri"/>
      <w:b/>
      <w:color w:val="0000FF"/>
      <w:sz w:val="22"/>
      <w:u w:val="single"/>
      <w:lang w:eastAsia="el-GR"/>
    </w:rPr>
  </w:style>
  <w:style w:type="character" w:styleId="ListLabel1919" w:customStyle="1">
    <w:name w:val="ListLabel 1919"/>
    <w:qFormat/>
    <w:rPr>
      <w:rFonts w:eastAsia="Calibri"/>
      <w:b/>
      <w:sz w:val="22"/>
      <w:lang w:eastAsia="en-US"/>
    </w:rPr>
  </w:style>
  <w:style w:type="character" w:styleId="ListLabel1918" w:customStyle="1">
    <w:name w:val="ListLabel 1918"/>
    <w:qFormat/>
    <w:rPr>
      <w:rFonts w:eastAsia="Calibri"/>
      <w:b/>
      <w:sz w:val="22"/>
    </w:rPr>
  </w:style>
  <w:style w:type="character" w:styleId="ListLabel1917" w:customStyle="1">
    <w:name w:val="ListLabel 1917"/>
    <w:qFormat/>
    <w:rPr>
      <w:rFonts w:eastAsia="Calibri"/>
      <w:b/>
      <w:sz w:val="22"/>
      <w:lang w:eastAsia="el-GR"/>
    </w:rPr>
  </w:style>
  <w:style w:type="character" w:styleId="ListLabel1916" w:customStyle="1">
    <w:name w:val="ListLabel 1916"/>
    <w:qFormat/>
    <w:rPr>
      <w:rFonts w:eastAsia="Calibri"/>
      <w:b/>
      <w:sz w:val="22"/>
      <w:lang w:eastAsia="el-GR"/>
    </w:rPr>
  </w:style>
  <w:style w:type="character" w:styleId="ListLabel1915" w:customStyle="1">
    <w:name w:val="ListLabel 1915"/>
    <w:qFormat/>
    <w:rPr>
      <w:rFonts w:eastAsia="Calibri"/>
      <w:b/>
      <w:sz w:val="22"/>
      <w:lang w:eastAsia="el-GR"/>
    </w:rPr>
  </w:style>
  <w:style w:type="character" w:styleId="ListLabel1914" w:customStyle="1">
    <w:name w:val="ListLabel 1914"/>
    <w:qFormat/>
    <w:rPr>
      <w:rFonts w:eastAsia="Calibri"/>
      <w:b/>
      <w:sz w:val="22"/>
      <w:lang w:eastAsia="el-GR"/>
    </w:rPr>
  </w:style>
  <w:style w:type="character" w:styleId="ListLabel1913" w:customStyle="1">
    <w:name w:val="ListLabel 1913"/>
    <w:qFormat/>
    <w:rPr>
      <w:rFonts w:eastAsia="Calibri"/>
      <w:color w:val="0000FF"/>
      <w:sz w:val="22"/>
      <w:u w:val="single"/>
      <w:lang w:eastAsia="el-GR"/>
    </w:rPr>
  </w:style>
  <w:style w:type="character" w:styleId="ListLabel1912" w:customStyle="1">
    <w:name w:val="ListLabel 1912"/>
    <w:qFormat/>
    <w:rPr>
      <w:rFonts w:eastAsia="Calibri"/>
      <w:sz w:val="22"/>
    </w:rPr>
  </w:style>
  <w:style w:type="character" w:styleId="ListLabel1911" w:customStyle="1">
    <w:name w:val="ListLabel 1911"/>
    <w:qFormat/>
    <w:rPr>
      <w:rFonts w:eastAsia="Calibri"/>
      <w:sz w:val="22"/>
      <w:lang w:eastAsia="en-US"/>
    </w:rPr>
  </w:style>
  <w:style w:type="character" w:styleId="ListLabel1910" w:customStyle="1">
    <w:name w:val="ListLabel 1910"/>
    <w:qFormat/>
    <w:rPr>
      <w:rFonts w:eastAsia="Symbol"/>
    </w:rPr>
  </w:style>
  <w:style w:type="character" w:styleId="ListLabel1909" w:customStyle="1">
    <w:name w:val="ListLabel 1909"/>
    <w:qFormat/>
    <w:rPr>
      <w:rFonts w:eastAsia="Symbol"/>
    </w:rPr>
  </w:style>
  <w:style w:type="character" w:styleId="ListLabel1908" w:customStyle="1">
    <w:name w:val="ListLabel 1908"/>
    <w:qFormat/>
    <w:rPr>
      <w:rFonts w:eastAsia="Symbol"/>
    </w:rPr>
  </w:style>
  <w:style w:type="character" w:styleId="ListLabel1907" w:customStyle="1">
    <w:name w:val="ListLabel 1907"/>
    <w:qFormat/>
    <w:rPr>
      <w:rFonts w:eastAsia="Symbol"/>
    </w:rPr>
  </w:style>
  <w:style w:type="character" w:styleId="ListLabel1906" w:customStyle="1">
    <w:name w:val="ListLabel 1906"/>
    <w:qFormat/>
    <w:rPr>
      <w:rFonts w:eastAsia="Symbol"/>
    </w:rPr>
  </w:style>
  <w:style w:type="character" w:styleId="ListLabel1905" w:customStyle="1">
    <w:name w:val="ListLabel 1905"/>
    <w:qFormat/>
    <w:rPr>
      <w:rFonts w:eastAsia="Symbol"/>
    </w:rPr>
  </w:style>
  <w:style w:type="character" w:styleId="ListLabel1904" w:customStyle="1">
    <w:name w:val="ListLabel 1904"/>
    <w:qFormat/>
    <w:rPr>
      <w:rFonts w:eastAsia="Symbol"/>
    </w:rPr>
  </w:style>
  <w:style w:type="character" w:styleId="ListLabel1903" w:customStyle="1">
    <w:name w:val="ListLabel 1903"/>
    <w:qFormat/>
    <w:rPr>
      <w:rFonts w:eastAsia="Symbol"/>
    </w:rPr>
  </w:style>
  <w:style w:type="character" w:styleId="ListLabel1902" w:customStyle="1">
    <w:name w:val="ListLabel 1902"/>
    <w:qFormat/>
    <w:rPr>
      <w:rFonts w:eastAsia="Symbol"/>
    </w:rPr>
  </w:style>
  <w:style w:type="character" w:styleId="ListLabel1901" w:customStyle="1">
    <w:name w:val="ListLabel 1901"/>
    <w:qFormat/>
    <w:rPr>
      <w:rFonts w:eastAsia="Wingdings"/>
    </w:rPr>
  </w:style>
  <w:style w:type="character" w:styleId="ListLabel1900" w:customStyle="1">
    <w:name w:val="ListLabel 1900"/>
    <w:qFormat/>
    <w:rPr>
      <w:rFonts w:eastAsia="Courier New"/>
    </w:rPr>
  </w:style>
  <w:style w:type="character" w:styleId="ListLabel1899" w:customStyle="1">
    <w:name w:val="ListLabel 1899"/>
    <w:qFormat/>
    <w:rPr>
      <w:rFonts w:eastAsia="Symbol"/>
    </w:rPr>
  </w:style>
  <w:style w:type="character" w:styleId="ListLabel1898" w:customStyle="1">
    <w:name w:val="ListLabel 1898"/>
    <w:qFormat/>
    <w:rPr>
      <w:rFonts w:eastAsia="Wingdings"/>
    </w:rPr>
  </w:style>
  <w:style w:type="character" w:styleId="ListLabel1897" w:customStyle="1">
    <w:name w:val="ListLabel 1897"/>
    <w:qFormat/>
    <w:rPr>
      <w:rFonts w:eastAsia="Courier New"/>
    </w:rPr>
  </w:style>
  <w:style w:type="character" w:styleId="ListLabel1896" w:customStyle="1">
    <w:name w:val="ListLabel 1896"/>
    <w:qFormat/>
    <w:rPr>
      <w:rFonts w:eastAsia="Symbol"/>
    </w:rPr>
  </w:style>
  <w:style w:type="character" w:styleId="ListLabel1895" w:customStyle="1">
    <w:name w:val="ListLabel 1895"/>
    <w:qFormat/>
    <w:rPr>
      <w:rFonts w:eastAsia="Wingdings"/>
    </w:rPr>
  </w:style>
  <w:style w:type="character" w:styleId="ListLabel1894" w:customStyle="1">
    <w:name w:val="ListLabel 1894"/>
    <w:qFormat/>
    <w:rPr>
      <w:rFonts w:eastAsia="Courier New"/>
    </w:rPr>
  </w:style>
  <w:style w:type="character" w:styleId="ListLabel1893" w:customStyle="1">
    <w:name w:val="ListLabel 1893"/>
    <w:qFormat/>
    <w:rPr>
      <w:rFonts w:ascii="Calibri" w:hAnsi="Calibri" w:eastAsia="Wingdings"/>
      <w:b/>
      <w:sz w:val="22"/>
    </w:rPr>
  </w:style>
  <w:style w:type="character" w:styleId="ListLabel1892" w:customStyle="1">
    <w:name w:val="ListLabel 1892"/>
    <w:qFormat/>
    <w:rPr>
      <w:rFonts w:eastAsia="Wingdings"/>
    </w:rPr>
  </w:style>
  <w:style w:type="character" w:styleId="ListLabel1891" w:customStyle="1">
    <w:name w:val="ListLabel 1891"/>
    <w:qFormat/>
    <w:rPr>
      <w:rFonts w:eastAsia="Courier New"/>
    </w:rPr>
  </w:style>
  <w:style w:type="character" w:styleId="ListLabel1890" w:customStyle="1">
    <w:name w:val="ListLabel 1890"/>
    <w:qFormat/>
    <w:rPr>
      <w:rFonts w:eastAsia="Symbol"/>
    </w:rPr>
  </w:style>
  <w:style w:type="character" w:styleId="ListLabel1889" w:customStyle="1">
    <w:name w:val="ListLabel 1889"/>
    <w:qFormat/>
    <w:rPr>
      <w:rFonts w:eastAsia="Wingdings"/>
    </w:rPr>
  </w:style>
  <w:style w:type="character" w:styleId="ListLabel1888" w:customStyle="1">
    <w:name w:val="ListLabel 1888"/>
    <w:qFormat/>
    <w:rPr>
      <w:rFonts w:eastAsia="Courier New"/>
    </w:rPr>
  </w:style>
  <w:style w:type="character" w:styleId="ListLabel1887" w:customStyle="1">
    <w:name w:val="ListLabel 1887"/>
    <w:qFormat/>
    <w:rPr>
      <w:rFonts w:eastAsia="Symbol"/>
    </w:rPr>
  </w:style>
  <w:style w:type="character" w:styleId="ListLabel1886" w:customStyle="1">
    <w:name w:val="ListLabel 1886"/>
    <w:qFormat/>
    <w:rPr>
      <w:rFonts w:eastAsia="Wingdings"/>
    </w:rPr>
  </w:style>
  <w:style w:type="character" w:styleId="ListLabel1885" w:customStyle="1">
    <w:name w:val="ListLabel 1885"/>
    <w:qFormat/>
    <w:rPr>
      <w:rFonts w:eastAsia="Courier New"/>
    </w:rPr>
  </w:style>
  <w:style w:type="character" w:styleId="ListLabel1884" w:customStyle="1">
    <w:name w:val="ListLabel 1884"/>
    <w:qFormat/>
    <w:rPr>
      <w:rFonts w:eastAsia="Wingdings"/>
    </w:rPr>
  </w:style>
  <w:style w:type="character" w:styleId="ListLabel1883" w:customStyle="1">
    <w:name w:val="ListLabel 1883"/>
    <w:qFormat/>
    <w:rPr>
      <w:rFonts w:eastAsia="Calibri"/>
      <w:b w:val="false"/>
      <w:i/>
      <w:sz w:val="22"/>
    </w:rPr>
  </w:style>
  <w:style w:type="character" w:styleId="ListLabel1882" w:customStyle="1">
    <w:name w:val="ListLabel 1882"/>
    <w:qFormat/>
    <w:rPr>
      <w:rFonts w:eastAsia="Wingdings"/>
    </w:rPr>
  </w:style>
  <w:style w:type="character" w:styleId="ListLabel1881" w:customStyle="1">
    <w:name w:val="ListLabel 1881"/>
    <w:qFormat/>
    <w:rPr>
      <w:rFonts w:eastAsia="Courier New"/>
    </w:rPr>
  </w:style>
  <w:style w:type="character" w:styleId="ListLabel1880" w:customStyle="1">
    <w:name w:val="ListLabel 1880"/>
    <w:qFormat/>
    <w:rPr>
      <w:rFonts w:eastAsia="Symbol"/>
    </w:rPr>
  </w:style>
  <w:style w:type="character" w:styleId="ListLabel1879" w:customStyle="1">
    <w:name w:val="ListLabel 1879"/>
    <w:qFormat/>
    <w:rPr>
      <w:rFonts w:eastAsia="Wingdings"/>
    </w:rPr>
  </w:style>
  <w:style w:type="character" w:styleId="ListLabel1878" w:customStyle="1">
    <w:name w:val="ListLabel 1878"/>
    <w:qFormat/>
    <w:rPr>
      <w:rFonts w:eastAsia="Courier New"/>
    </w:rPr>
  </w:style>
  <w:style w:type="character" w:styleId="ListLabel1877" w:customStyle="1">
    <w:name w:val="ListLabel 1877"/>
    <w:qFormat/>
    <w:rPr>
      <w:rFonts w:eastAsia="Symbol"/>
    </w:rPr>
  </w:style>
  <w:style w:type="character" w:styleId="ListLabel1876" w:customStyle="1">
    <w:name w:val="ListLabel 1876"/>
    <w:qFormat/>
    <w:rPr>
      <w:rFonts w:eastAsia="Wingdings"/>
    </w:rPr>
  </w:style>
  <w:style w:type="character" w:styleId="ListLabel1875" w:customStyle="1">
    <w:name w:val="ListLabel 1875"/>
    <w:qFormat/>
    <w:rPr>
      <w:rFonts w:eastAsia="Courier New"/>
    </w:rPr>
  </w:style>
  <w:style w:type="character" w:styleId="ListLabel1874" w:customStyle="1">
    <w:name w:val="ListLabel 1874"/>
    <w:qFormat/>
    <w:rPr>
      <w:rFonts w:ascii="Calibri" w:hAnsi="Calibri" w:eastAsia="Symbol"/>
      <w:sz w:val="22"/>
    </w:rPr>
  </w:style>
  <w:style w:type="character" w:styleId="ListLabel1873" w:customStyle="1">
    <w:name w:val="ListLabel 1873"/>
    <w:qFormat/>
    <w:rPr>
      <w:rFonts w:eastAsia="Symbol"/>
      <w:b/>
      <w:lang w:eastAsia="el-GR"/>
    </w:rPr>
  </w:style>
  <w:style w:type="character" w:styleId="ListLabel1872" w:customStyle="1">
    <w:name w:val="ListLabel 1872"/>
    <w:qFormat/>
    <w:rPr>
      <w:rFonts w:eastAsia="Wingdings"/>
    </w:rPr>
  </w:style>
  <w:style w:type="character" w:styleId="ListLabel1871" w:customStyle="1">
    <w:name w:val="ListLabel 1871"/>
    <w:qFormat/>
    <w:rPr>
      <w:rFonts w:eastAsia="Courier New"/>
    </w:rPr>
  </w:style>
  <w:style w:type="character" w:styleId="ListLabel1870" w:customStyle="1">
    <w:name w:val="ListLabel 1870"/>
    <w:qFormat/>
    <w:rPr>
      <w:rFonts w:eastAsia="Symbol"/>
    </w:rPr>
  </w:style>
  <w:style w:type="character" w:styleId="ListLabel1869" w:customStyle="1">
    <w:name w:val="ListLabel 1869"/>
    <w:qFormat/>
    <w:rPr>
      <w:rFonts w:eastAsia="Wingdings"/>
    </w:rPr>
  </w:style>
  <w:style w:type="character" w:styleId="ListLabel1868" w:customStyle="1">
    <w:name w:val="ListLabel 1868"/>
    <w:qFormat/>
    <w:rPr>
      <w:rFonts w:eastAsia="Courier New"/>
    </w:rPr>
  </w:style>
  <w:style w:type="character" w:styleId="ListLabel1867" w:customStyle="1">
    <w:name w:val="ListLabel 1867"/>
    <w:qFormat/>
    <w:rPr>
      <w:rFonts w:eastAsia="Symbol"/>
    </w:rPr>
  </w:style>
  <w:style w:type="character" w:styleId="ListLabel1866" w:customStyle="1">
    <w:name w:val="ListLabel 1866"/>
    <w:qFormat/>
    <w:rPr>
      <w:rFonts w:eastAsia="Wingdings"/>
    </w:rPr>
  </w:style>
  <w:style w:type="character" w:styleId="ListLabel1865" w:customStyle="1">
    <w:name w:val="ListLabel 1865"/>
    <w:qFormat/>
    <w:rPr>
      <w:rFonts w:eastAsia="Courier New"/>
    </w:rPr>
  </w:style>
  <w:style w:type="character" w:styleId="ListLabel1864" w:customStyle="1">
    <w:name w:val="ListLabel 1864"/>
    <w:qFormat/>
    <w:rPr>
      <w:rFonts w:eastAsia="Symbol"/>
    </w:rPr>
  </w:style>
  <w:style w:type="character" w:styleId="ListLabel1863" w:customStyle="1">
    <w:name w:val="ListLabel 1863"/>
    <w:qFormat/>
    <w:rPr>
      <w:rFonts w:eastAsia="Times New Roman"/>
    </w:rPr>
  </w:style>
  <w:style w:type="character" w:styleId="ListLabel1862" w:customStyle="1">
    <w:name w:val="ListLabel 1862"/>
    <w:qFormat/>
    <w:rPr>
      <w:rFonts w:eastAsia="Times New Roman"/>
    </w:rPr>
  </w:style>
  <w:style w:type="character" w:styleId="ListLabel1861" w:customStyle="1">
    <w:name w:val="ListLabel 1861"/>
    <w:qFormat/>
    <w:rPr>
      <w:rFonts w:eastAsia="Times New Roman"/>
    </w:rPr>
  </w:style>
  <w:style w:type="character" w:styleId="ListLabel1860" w:customStyle="1">
    <w:name w:val="ListLabel 1860"/>
    <w:qFormat/>
    <w:rPr>
      <w:rFonts w:eastAsia="Times New Roman"/>
    </w:rPr>
  </w:style>
  <w:style w:type="character" w:styleId="ListLabel1859" w:customStyle="1">
    <w:name w:val="ListLabel 1859"/>
    <w:qFormat/>
    <w:rPr>
      <w:rFonts w:eastAsia="Times New Roman"/>
    </w:rPr>
  </w:style>
  <w:style w:type="character" w:styleId="ListLabel1858" w:customStyle="1">
    <w:name w:val="ListLabel 1858"/>
    <w:qFormat/>
    <w:rPr>
      <w:rFonts w:eastAsia="Times New Roman"/>
    </w:rPr>
  </w:style>
  <w:style w:type="character" w:styleId="ListLabel1857" w:customStyle="1">
    <w:name w:val="ListLabel 1857"/>
    <w:qFormat/>
    <w:rPr>
      <w:rFonts w:eastAsia="Times New Roman"/>
    </w:rPr>
  </w:style>
  <w:style w:type="character" w:styleId="ListLabel1856" w:customStyle="1">
    <w:name w:val="ListLabel 1856"/>
    <w:qFormat/>
    <w:rPr>
      <w:rFonts w:eastAsia="Times New Roman"/>
    </w:rPr>
  </w:style>
  <w:style w:type="character" w:styleId="ListLabel1855" w:customStyle="1">
    <w:name w:val="ListLabel 1855"/>
    <w:qFormat/>
    <w:rPr>
      <w:rFonts w:ascii="Calibri" w:hAnsi="Calibri" w:eastAsia="Times New Roman"/>
    </w:rPr>
  </w:style>
  <w:style w:type="character" w:styleId="ListLabel1854" w:customStyle="1">
    <w:name w:val="ListLabel 1854"/>
    <w:qFormat/>
    <w:rPr>
      <w:rFonts w:eastAsia="Wingdings"/>
    </w:rPr>
  </w:style>
  <w:style w:type="character" w:styleId="ListLabel1853" w:customStyle="1">
    <w:name w:val="ListLabel 1853"/>
    <w:qFormat/>
    <w:rPr>
      <w:rFonts w:eastAsia="Courier New"/>
    </w:rPr>
  </w:style>
  <w:style w:type="character" w:styleId="ListLabel1852" w:customStyle="1">
    <w:name w:val="ListLabel 1852"/>
    <w:qFormat/>
    <w:rPr>
      <w:rFonts w:eastAsia="Symbol"/>
    </w:rPr>
  </w:style>
  <w:style w:type="character" w:styleId="ListLabel1851" w:customStyle="1">
    <w:name w:val="ListLabel 1851"/>
    <w:qFormat/>
    <w:rPr>
      <w:rFonts w:eastAsia="Wingdings"/>
    </w:rPr>
  </w:style>
  <w:style w:type="character" w:styleId="ListLabel1850" w:customStyle="1">
    <w:name w:val="ListLabel 1850"/>
    <w:qFormat/>
    <w:rPr>
      <w:rFonts w:eastAsia="Courier New"/>
    </w:rPr>
  </w:style>
  <w:style w:type="character" w:styleId="ListLabel1849" w:customStyle="1">
    <w:name w:val="ListLabel 1849"/>
    <w:qFormat/>
    <w:rPr>
      <w:rFonts w:eastAsia="Symbol"/>
    </w:rPr>
  </w:style>
  <w:style w:type="character" w:styleId="ListLabel1848" w:customStyle="1">
    <w:name w:val="ListLabel 1848"/>
    <w:qFormat/>
    <w:rPr>
      <w:rFonts w:eastAsia="Wingdings"/>
    </w:rPr>
  </w:style>
  <w:style w:type="character" w:styleId="ListLabel1847" w:customStyle="1">
    <w:name w:val="ListLabel 1847"/>
    <w:qFormat/>
    <w:rPr>
      <w:rFonts w:eastAsia="Courier New"/>
    </w:rPr>
  </w:style>
  <w:style w:type="character" w:styleId="ListLabel1846" w:customStyle="1">
    <w:name w:val="ListLabel 1846"/>
    <w:qFormat/>
    <w:rPr>
      <w:rFonts w:eastAsia="Wingdings"/>
      <w:color w:val="auto"/>
    </w:rPr>
  </w:style>
  <w:style w:type="character" w:styleId="ListLabel1845" w:customStyle="1">
    <w:name w:val="ListLabel 1845"/>
    <w:qFormat/>
    <w:rPr>
      <w:rFonts w:eastAsia="Times New Roman"/>
    </w:rPr>
  </w:style>
  <w:style w:type="character" w:styleId="ListLabel1844" w:customStyle="1">
    <w:name w:val="ListLabel 1844"/>
    <w:qFormat/>
    <w:rPr>
      <w:rFonts w:eastAsia="Times New Roman"/>
    </w:rPr>
  </w:style>
  <w:style w:type="character" w:styleId="ListLabel1843" w:customStyle="1">
    <w:name w:val="ListLabel 1843"/>
    <w:qFormat/>
    <w:rPr>
      <w:rFonts w:eastAsia="Times New Roman"/>
    </w:rPr>
  </w:style>
  <w:style w:type="character" w:styleId="ListLabel1842" w:customStyle="1">
    <w:name w:val="ListLabel 1842"/>
    <w:qFormat/>
    <w:rPr>
      <w:rFonts w:eastAsia="Times New Roman"/>
    </w:rPr>
  </w:style>
  <w:style w:type="character" w:styleId="ListLabel1841" w:customStyle="1">
    <w:name w:val="ListLabel 1841"/>
    <w:qFormat/>
    <w:rPr>
      <w:rFonts w:eastAsia="Times New Roman"/>
    </w:rPr>
  </w:style>
  <w:style w:type="character" w:styleId="ListLabel1840" w:customStyle="1">
    <w:name w:val="ListLabel 1840"/>
    <w:qFormat/>
    <w:rPr>
      <w:rFonts w:eastAsia="Times New Roman"/>
    </w:rPr>
  </w:style>
  <w:style w:type="character" w:styleId="ListLabel1839" w:customStyle="1">
    <w:name w:val="ListLabel 1839"/>
    <w:qFormat/>
    <w:rPr>
      <w:rFonts w:eastAsia="Times New Roman"/>
    </w:rPr>
  </w:style>
  <w:style w:type="character" w:styleId="ListLabel1838" w:customStyle="1">
    <w:name w:val="ListLabel 1838"/>
    <w:qFormat/>
    <w:rPr>
      <w:rFonts w:eastAsia="Times New Roman"/>
    </w:rPr>
  </w:style>
  <w:style w:type="character" w:styleId="ListLabel1837" w:customStyle="1">
    <w:name w:val="ListLabel 1837"/>
    <w:qFormat/>
    <w:rPr>
      <w:rFonts w:eastAsia="Times New Roman"/>
      <w:sz w:val="16"/>
    </w:rPr>
  </w:style>
  <w:style w:type="character" w:styleId="ListLabel1836" w:customStyle="1">
    <w:name w:val="ListLabel 1836"/>
    <w:qFormat/>
    <w:rPr>
      <w:rFonts w:eastAsia="Times New Roman"/>
      <w:sz w:val="22"/>
    </w:rPr>
  </w:style>
  <w:style w:type="character" w:styleId="ListLabel1835" w:customStyle="1">
    <w:name w:val="ListLabel 1835"/>
    <w:qFormat/>
    <w:rPr>
      <w:rFonts w:eastAsia="Tahoma"/>
      <w:sz w:val="22"/>
      <w:lang w:eastAsia="el-GR"/>
    </w:rPr>
  </w:style>
  <w:style w:type="character" w:styleId="ListLabel1834" w:customStyle="1">
    <w:name w:val="ListLabel 1834"/>
    <w:qFormat/>
    <w:rPr>
      <w:rFonts w:eastAsia="Tahoma"/>
      <w:sz w:val="22"/>
      <w:lang w:eastAsia="en-US"/>
    </w:rPr>
  </w:style>
  <w:style w:type="character" w:styleId="ListLabel1833" w:customStyle="1">
    <w:name w:val="ListLabel 1833"/>
    <w:qFormat/>
    <w:rPr>
      <w:rFonts w:eastAsia="Calibri"/>
    </w:rPr>
  </w:style>
  <w:style w:type="character" w:styleId="ListLabel1832" w:customStyle="1">
    <w:name w:val="ListLabel 1832"/>
    <w:qFormat/>
    <w:rPr>
      <w:rFonts w:ascii="Calibri" w:hAnsi="Calibri" w:eastAsia="Calibri"/>
      <w:sz w:val="22"/>
    </w:rPr>
  </w:style>
  <w:style w:type="character" w:styleId="ListLabel1831" w:customStyle="1">
    <w:name w:val="ListLabel 1831"/>
    <w:qFormat/>
    <w:rPr>
      <w:rFonts w:eastAsia="Tahoma"/>
      <w:color w:val="auto"/>
      <w:sz w:val="22"/>
      <w:lang w:eastAsia="el-GR"/>
    </w:rPr>
  </w:style>
  <w:style w:type="character" w:styleId="ListLabel1830" w:customStyle="1">
    <w:name w:val="ListLabel 1830"/>
    <w:qFormat/>
    <w:rPr>
      <w:rFonts w:eastAsia="Tahoma"/>
      <w:i/>
      <w:color w:val="auto"/>
      <w:sz w:val="22"/>
    </w:rPr>
  </w:style>
  <w:style w:type="character" w:styleId="ListLabel1829" w:customStyle="1">
    <w:name w:val="ListLabel 1829"/>
    <w:qFormat/>
    <w:rPr>
      <w:rFonts w:eastAsia="Calibri"/>
      <w:b/>
      <w:sz w:val="22"/>
      <w:lang w:eastAsia="el-GR"/>
    </w:rPr>
  </w:style>
  <w:style w:type="character" w:styleId="ListLabel1828" w:customStyle="1">
    <w:name w:val="ListLabel 1828"/>
    <w:qFormat/>
    <w:rPr>
      <w:rFonts w:eastAsia="Calibri"/>
      <w:b/>
      <w:sz w:val="22"/>
      <w:lang w:eastAsia="en-US"/>
    </w:rPr>
  </w:style>
  <w:style w:type="character" w:styleId="ListLabel1827" w:customStyle="1">
    <w:name w:val="ListLabel 1827"/>
    <w:qFormat/>
    <w:rPr>
      <w:rFonts w:eastAsia="Calibri"/>
      <w:lang w:eastAsia="el-GR"/>
    </w:rPr>
  </w:style>
  <w:style w:type="character" w:styleId="ListLabel1826" w:customStyle="1">
    <w:name w:val="ListLabel 1826"/>
    <w:qFormat/>
    <w:rPr>
      <w:rFonts w:eastAsia="Calibri"/>
    </w:rPr>
  </w:style>
  <w:style w:type="character" w:styleId="ListLabel1825" w:customStyle="1">
    <w:name w:val="ListLabel 1825"/>
    <w:qFormat/>
    <w:rPr>
      <w:rFonts w:eastAsia="Calibri"/>
      <w:b/>
      <w:color w:val="0000FF"/>
      <w:sz w:val="22"/>
      <w:u w:val="single"/>
      <w:lang w:eastAsia="el-GR"/>
    </w:rPr>
  </w:style>
  <w:style w:type="character" w:styleId="ListLabel1824" w:customStyle="1">
    <w:name w:val="ListLabel 1824"/>
    <w:qFormat/>
    <w:rPr>
      <w:rFonts w:eastAsia="Calibri"/>
      <w:b/>
      <w:sz w:val="22"/>
      <w:lang w:eastAsia="en-US"/>
    </w:rPr>
  </w:style>
  <w:style w:type="character" w:styleId="ListLabel1823" w:customStyle="1">
    <w:name w:val="ListLabel 1823"/>
    <w:qFormat/>
    <w:rPr>
      <w:rFonts w:eastAsia="Calibri"/>
      <w:b/>
      <w:sz w:val="22"/>
    </w:rPr>
  </w:style>
  <w:style w:type="character" w:styleId="ListLabel1822" w:customStyle="1">
    <w:name w:val="ListLabel 1822"/>
    <w:qFormat/>
    <w:rPr>
      <w:rFonts w:eastAsia="Calibri"/>
      <w:b/>
      <w:sz w:val="22"/>
      <w:lang w:eastAsia="el-GR"/>
    </w:rPr>
  </w:style>
  <w:style w:type="character" w:styleId="ListLabel1821" w:customStyle="1">
    <w:name w:val="ListLabel 1821"/>
    <w:qFormat/>
    <w:rPr>
      <w:rFonts w:eastAsia="Calibri"/>
      <w:b/>
      <w:sz w:val="22"/>
      <w:lang w:eastAsia="el-GR"/>
    </w:rPr>
  </w:style>
  <w:style w:type="character" w:styleId="ListLabel1820" w:customStyle="1">
    <w:name w:val="ListLabel 1820"/>
    <w:qFormat/>
    <w:rPr>
      <w:rFonts w:eastAsia="Calibri"/>
      <w:b/>
      <w:sz w:val="22"/>
      <w:lang w:eastAsia="el-GR"/>
    </w:rPr>
  </w:style>
  <w:style w:type="character" w:styleId="ListLabel1819" w:customStyle="1">
    <w:name w:val="ListLabel 1819"/>
    <w:qFormat/>
    <w:rPr>
      <w:rFonts w:eastAsia="Calibri"/>
      <w:b/>
      <w:sz w:val="22"/>
      <w:lang w:eastAsia="el-GR"/>
    </w:rPr>
  </w:style>
  <w:style w:type="character" w:styleId="ListLabel1818" w:customStyle="1">
    <w:name w:val="ListLabel 1818"/>
    <w:qFormat/>
    <w:rPr>
      <w:rFonts w:eastAsia="Calibri"/>
      <w:color w:val="0000FF"/>
      <w:sz w:val="22"/>
      <w:u w:val="single"/>
      <w:lang w:eastAsia="el-GR"/>
    </w:rPr>
  </w:style>
  <w:style w:type="character" w:styleId="ListLabel1817" w:customStyle="1">
    <w:name w:val="ListLabel 1817"/>
    <w:qFormat/>
    <w:rPr>
      <w:rFonts w:eastAsia="Calibri"/>
      <w:sz w:val="22"/>
    </w:rPr>
  </w:style>
  <w:style w:type="character" w:styleId="ListLabel1816" w:customStyle="1">
    <w:name w:val="ListLabel 1816"/>
    <w:qFormat/>
    <w:rPr>
      <w:rFonts w:eastAsia="Calibri"/>
      <w:sz w:val="22"/>
      <w:lang w:eastAsia="en-US"/>
    </w:rPr>
  </w:style>
  <w:style w:type="character" w:styleId="ListLabel1815" w:customStyle="1">
    <w:name w:val="ListLabel 1815"/>
    <w:qFormat/>
    <w:rPr>
      <w:rFonts w:eastAsia="Symbol"/>
    </w:rPr>
  </w:style>
  <w:style w:type="character" w:styleId="ListLabel1814" w:customStyle="1">
    <w:name w:val="ListLabel 1814"/>
    <w:qFormat/>
    <w:rPr>
      <w:rFonts w:eastAsia="Symbol"/>
    </w:rPr>
  </w:style>
  <w:style w:type="character" w:styleId="ListLabel1813" w:customStyle="1">
    <w:name w:val="ListLabel 1813"/>
    <w:qFormat/>
    <w:rPr>
      <w:rFonts w:eastAsia="Symbol"/>
    </w:rPr>
  </w:style>
  <w:style w:type="character" w:styleId="ListLabel1812" w:customStyle="1">
    <w:name w:val="ListLabel 1812"/>
    <w:qFormat/>
    <w:rPr>
      <w:rFonts w:eastAsia="Symbol"/>
    </w:rPr>
  </w:style>
  <w:style w:type="character" w:styleId="ListLabel1811" w:customStyle="1">
    <w:name w:val="ListLabel 1811"/>
    <w:qFormat/>
    <w:rPr>
      <w:rFonts w:eastAsia="Symbol"/>
    </w:rPr>
  </w:style>
  <w:style w:type="character" w:styleId="ListLabel1810" w:customStyle="1">
    <w:name w:val="ListLabel 1810"/>
    <w:qFormat/>
    <w:rPr>
      <w:rFonts w:eastAsia="Symbol"/>
    </w:rPr>
  </w:style>
  <w:style w:type="character" w:styleId="ListLabel1809" w:customStyle="1">
    <w:name w:val="ListLabel 1809"/>
    <w:qFormat/>
    <w:rPr>
      <w:rFonts w:eastAsia="Symbol"/>
    </w:rPr>
  </w:style>
  <w:style w:type="character" w:styleId="ListLabel1808" w:customStyle="1">
    <w:name w:val="ListLabel 1808"/>
    <w:qFormat/>
    <w:rPr>
      <w:rFonts w:eastAsia="Symbol"/>
    </w:rPr>
  </w:style>
  <w:style w:type="character" w:styleId="ListLabel1807" w:customStyle="1">
    <w:name w:val="ListLabel 1807"/>
    <w:qFormat/>
    <w:rPr>
      <w:rFonts w:eastAsia="Symbol"/>
    </w:rPr>
  </w:style>
  <w:style w:type="character" w:styleId="ListLabel1806" w:customStyle="1">
    <w:name w:val="ListLabel 1806"/>
    <w:qFormat/>
    <w:rPr>
      <w:rFonts w:eastAsia="Wingdings"/>
    </w:rPr>
  </w:style>
  <w:style w:type="character" w:styleId="ListLabel1805" w:customStyle="1">
    <w:name w:val="ListLabel 1805"/>
    <w:qFormat/>
    <w:rPr>
      <w:rFonts w:eastAsia="Courier New"/>
    </w:rPr>
  </w:style>
  <w:style w:type="character" w:styleId="ListLabel1804" w:customStyle="1">
    <w:name w:val="ListLabel 1804"/>
    <w:qFormat/>
    <w:rPr>
      <w:rFonts w:eastAsia="Symbol"/>
    </w:rPr>
  </w:style>
  <w:style w:type="character" w:styleId="ListLabel1803" w:customStyle="1">
    <w:name w:val="ListLabel 1803"/>
    <w:qFormat/>
    <w:rPr>
      <w:rFonts w:eastAsia="Wingdings"/>
    </w:rPr>
  </w:style>
  <w:style w:type="character" w:styleId="ListLabel1802" w:customStyle="1">
    <w:name w:val="ListLabel 1802"/>
    <w:qFormat/>
    <w:rPr>
      <w:rFonts w:eastAsia="Courier New"/>
    </w:rPr>
  </w:style>
  <w:style w:type="character" w:styleId="ListLabel1801" w:customStyle="1">
    <w:name w:val="ListLabel 1801"/>
    <w:qFormat/>
    <w:rPr>
      <w:rFonts w:eastAsia="Symbol"/>
    </w:rPr>
  </w:style>
  <w:style w:type="character" w:styleId="ListLabel1800" w:customStyle="1">
    <w:name w:val="ListLabel 1800"/>
    <w:qFormat/>
    <w:rPr>
      <w:rFonts w:eastAsia="Wingdings"/>
    </w:rPr>
  </w:style>
  <w:style w:type="character" w:styleId="ListLabel1799" w:customStyle="1">
    <w:name w:val="ListLabel 1799"/>
    <w:qFormat/>
    <w:rPr>
      <w:rFonts w:eastAsia="Courier New"/>
    </w:rPr>
  </w:style>
  <w:style w:type="character" w:styleId="ListLabel1798" w:customStyle="1">
    <w:name w:val="ListLabel 1798"/>
    <w:qFormat/>
    <w:rPr>
      <w:rFonts w:ascii="Calibri" w:hAnsi="Calibri" w:eastAsia="Wingdings"/>
      <w:b/>
      <w:sz w:val="22"/>
    </w:rPr>
  </w:style>
  <w:style w:type="character" w:styleId="ListLabel1797" w:customStyle="1">
    <w:name w:val="ListLabel 1797"/>
    <w:qFormat/>
    <w:rPr>
      <w:rFonts w:eastAsia="Wingdings"/>
    </w:rPr>
  </w:style>
  <w:style w:type="character" w:styleId="ListLabel1796" w:customStyle="1">
    <w:name w:val="ListLabel 1796"/>
    <w:qFormat/>
    <w:rPr>
      <w:rFonts w:eastAsia="Courier New"/>
    </w:rPr>
  </w:style>
  <w:style w:type="character" w:styleId="ListLabel1795" w:customStyle="1">
    <w:name w:val="ListLabel 1795"/>
    <w:qFormat/>
    <w:rPr>
      <w:rFonts w:eastAsia="Symbol"/>
    </w:rPr>
  </w:style>
  <w:style w:type="character" w:styleId="ListLabel1794" w:customStyle="1">
    <w:name w:val="ListLabel 1794"/>
    <w:qFormat/>
    <w:rPr>
      <w:rFonts w:eastAsia="Wingdings"/>
    </w:rPr>
  </w:style>
  <w:style w:type="character" w:styleId="ListLabel1793" w:customStyle="1">
    <w:name w:val="ListLabel 1793"/>
    <w:qFormat/>
    <w:rPr>
      <w:rFonts w:eastAsia="Courier New"/>
    </w:rPr>
  </w:style>
  <w:style w:type="character" w:styleId="ListLabel1792" w:customStyle="1">
    <w:name w:val="ListLabel 1792"/>
    <w:qFormat/>
    <w:rPr>
      <w:rFonts w:eastAsia="Symbol"/>
    </w:rPr>
  </w:style>
  <w:style w:type="character" w:styleId="ListLabel1791" w:customStyle="1">
    <w:name w:val="ListLabel 1791"/>
    <w:qFormat/>
    <w:rPr>
      <w:rFonts w:eastAsia="Wingdings"/>
    </w:rPr>
  </w:style>
  <w:style w:type="character" w:styleId="ListLabel1790" w:customStyle="1">
    <w:name w:val="ListLabel 1790"/>
    <w:qFormat/>
    <w:rPr>
      <w:rFonts w:eastAsia="Courier New"/>
    </w:rPr>
  </w:style>
  <w:style w:type="character" w:styleId="ListLabel1789" w:customStyle="1">
    <w:name w:val="ListLabel 1789"/>
    <w:qFormat/>
    <w:rPr>
      <w:rFonts w:eastAsia="Wingdings"/>
    </w:rPr>
  </w:style>
  <w:style w:type="character" w:styleId="ListLabel1788" w:customStyle="1">
    <w:name w:val="ListLabel 1788"/>
    <w:qFormat/>
    <w:rPr>
      <w:rFonts w:eastAsia="Calibri"/>
      <w:b w:val="false"/>
      <w:i/>
      <w:sz w:val="22"/>
    </w:rPr>
  </w:style>
  <w:style w:type="character" w:styleId="ListLabel1787" w:customStyle="1">
    <w:name w:val="ListLabel 1787"/>
    <w:qFormat/>
    <w:rPr>
      <w:rFonts w:eastAsia="Wingdings"/>
    </w:rPr>
  </w:style>
  <w:style w:type="character" w:styleId="ListLabel1786" w:customStyle="1">
    <w:name w:val="ListLabel 1786"/>
    <w:qFormat/>
    <w:rPr>
      <w:rFonts w:eastAsia="Courier New"/>
    </w:rPr>
  </w:style>
  <w:style w:type="character" w:styleId="ListLabel1785" w:customStyle="1">
    <w:name w:val="ListLabel 1785"/>
    <w:qFormat/>
    <w:rPr>
      <w:rFonts w:eastAsia="Symbol"/>
    </w:rPr>
  </w:style>
  <w:style w:type="character" w:styleId="ListLabel1784" w:customStyle="1">
    <w:name w:val="ListLabel 1784"/>
    <w:qFormat/>
    <w:rPr>
      <w:rFonts w:eastAsia="Wingdings"/>
    </w:rPr>
  </w:style>
  <w:style w:type="character" w:styleId="ListLabel1783" w:customStyle="1">
    <w:name w:val="ListLabel 1783"/>
    <w:qFormat/>
    <w:rPr>
      <w:rFonts w:eastAsia="Courier New"/>
    </w:rPr>
  </w:style>
  <w:style w:type="character" w:styleId="ListLabel1782" w:customStyle="1">
    <w:name w:val="ListLabel 1782"/>
    <w:qFormat/>
    <w:rPr>
      <w:rFonts w:eastAsia="Symbol"/>
    </w:rPr>
  </w:style>
  <w:style w:type="character" w:styleId="ListLabel1781" w:customStyle="1">
    <w:name w:val="ListLabel 1781"/>
    <w:qFormat/>
    <w:rPr>
      <w:rFonts w:eastAsia="Wingdings"/>
    </w:rPr>
  </w:style>
  <w:style w:type="character" w:styleId="ListLabel1780" w:customStyle="1">
    <w:name w:val="ListLabel 1780"/>
    <w:qFormat/>
    <w:rPr>
      <w:rFonts w:eastAsia="Courier New"/>
    </w:rPr>
  </w:style>
  <w:style w:type="character" w:styleId="ListLabel1779" w:customStyle="1">
    <w:name w:val="ListLabel 1779"/>
    <w:qFormat/>
    <w:rPr>
      <w:rFonts w:ascii="Calibri" w:hAnsi="Calibri" w:eastAsia="Symbol"/>
      <w:sz w:val="22"/>
    </w:rPr>
  </w:style>
  <w:style w:type="character" w:styleId="ListLabel1778" w:customStyle="1">
    <w:name w:val="ListLabel 1778"/>
    <w:qFormat/>
    <w:rPr>
      <w:rFonts w:eastAsia="Symbol"/>
      <w:b/>
      <w:lang w:eastAsia="el-GR"/>
    </w:rPr>
  </w:style>
  <w:style w:type="character" w:styleId="ListLabel1777" w:customStyle="1">
    <w:name w:val="ListLabel 1777"/>
    <w:qFormat/>
    <w:rPr>
      <w:rFonts w:eastAsia="Wingdings"/>
    </w:rPr>
  </w:style>
  <w:style w:type="character" w:styleId="ListLabel1776" w:customStyle="1">
    <w:name w:val="ListLabel 1776"/>
    <w:qFormat/>
    <w:rPr>
      <w:rFonts w:eastAsia="Courier New"/>
    </w:rPr>
  </w:style>
  <w:style w:type="character" w:styleId="ListLabel1775" w:customStyle="1">
    <w:name w:val="ListLabel 1775"/>
    <w:qFormat/>
    <w:rPr>
      <w:rFonts w:eastAsia="Symbol"/>
    </w:rPr>
  </w:style>
  <w:style w:type="character" w:styleId="ListLabel1774" w:customStyle="1">
    <w:name w:val="ListLabel 1774"/>
    <w:qFormat/>
    <w:rPr>
      <w:rFonts w:eastAsia="Wingdings"/>
    </w:rPr>
  </w:style>
  <w:style w:type="character" w:styleId="ListLabel1773" w:customStyle="1">
    <w:name w:val="ListLabel 1773"/>
    <w:qFormat/>
    <w:rPr>
      <w:rFonts w:eastAsia="Courier New"/>
    </w:rPr>
  </w:style>
  <w:style w:type="character" w:styleId="ListLabel1772" w:customStyle="1">
    <w:name w:val="ListLabel 1772"/>
    <w:qFormat/>
    <w:rPr>
      <w:rFonts w:eastAsia="Symbol"/>
    </w:rPr>
  </w:style>
  <w:style w:type="character" w:styleId="ListLabel1771" w:customStyle="1">
    <w:name w:val="ListLabel 1771"/>
    <w:qFormat/>
    <w:rPr>
      <w:rFonts w:eastAsia="Wingdings"/>
    </w:rPr>
  </w:style>
  <w:style w:type="character" w:styleId="ListLabel1770" w:customStyle="1">
    <w:name w:val="ListLabel 1770"/>
    <w:qFormat/>
    <w:rPr>
      <w:rFonts w:eastAsia="Courier New"/>
    </w:rPr>
  </w:style>
  <w:style w:type="character" w:styleId="ListLabel1769" w:customStyle="1">
    <w:name w:val="ListLabel 1769"/>
    <w:qFormat/>
    <w:rPr>
      <w:rFonts w:eastAsia="Symbol"/>
    </w:rPr>
  </w:style>
  <w:style w:type="character" w:styleId="ListLabel1768" w:customStyle="1">
    <w:name w:val="ListLabel 1768"/>
    <w:qFormat/>
    <w:rPr>
      <w:rFonts w:eastAsia="Times New Roman"/>
    </w:rPr>
  </w:style>
  <w:style w:type="character" w:styleId="ListLabel1767" w:customStyle="1">
    <w:name w:val="ListLabel 1767"/>
    <w:qFormat/>
    <w:rPr>
      <w:rFonts w:eastAsia="Times New Roman"/>
    </w:rPr>
  </w:style>
  <w:style w:type="character" w:styleId="ListLabel1766" w:customStyle="1">
    <w:name w:val="ListLabel 1766"/>
    <w:qFormat/>
    <w:rPr>
      <w:rFonts w:eastAsia="Times New Roman"/>
    </w:rPr>
  </w:style>
  <w:style w:type="character" w:styleId="ListLabel1765" w:customStyle="1">
    <w:name w:val="ListLabel 1765"/>
    <w:qFormat/>
    <w:rPr>
      <w:rFonts w:eastAsia="Times New Roman"/>
    </w:rPr>
  </w:style>
  <w:style w:type="character" w:styleId="ListLabel1764" w:customStyle="1">
    <w:name w:val="ListLabel 1764"/>
    <w:qFormat/>
    <w:rPr>
      <w:rFonts w:eastAsia="Times New Roman"/>
    </w:rPr>
  </w:style>
  <w:style w:type="character" w:styleId="ListLabel1763" w:customStyle="1">
    <w:name w:val="ListLabel 1763"/>
    <w:qFormat/>
    <w:rPr>
      <w:rFonts w:eastAsia="Times New Roman"/>
    </w:rPr>
  </w:style>
  <w:style w:type="character" w:styleId="ListLabel1762" w:customStyle="1">
    <w:name w:val="ListLabel 1762"/>
    <w:qFormat/>
    <w:rPr>
      <w:rFonts w:eastAsia="Times New Roman"/>
    </w:rPr>
  </w:style>
  <w:style w:type="character" w:styleId="ListLabel1761" w:customStyle="1">
    <w:name w:val="ListLabel 1761"/>
    <w:qFormat/>
    <w:rPr>
      <w:rFonts w:eastAsia="Times New Roman"/>
    </w:rPr>
  </w:style>
  <w:style w:type="character" w:styleId="ListLabel1760" w:customStyle="1">
    <w:name w:val="ListLabel 1760"/>
    <w:qFormat/>
    <w:rPr>
      <w:rFonts w:ascii="Calibri" w:hAnsi="Calibri" w:eastAsia="Times New Roman"/>
    </w:rPr>
  </w:style>
  <w:style w:type="character" w:styleId="ListLabel1759" w:customStyle="1">
    <w:name w:val="ListLabel 1759"/>
    <w:qFormat/>
    <w:rPr>
      <w:rFonts w:eastAsia="Wingdings"/>
    </w:rPr>
  </w:style>
  <w:style w:type="character" w:styleId="ListLabel1758" w:customStyle="1">
    <w:name w:val="ListLabel 1758"/>
    <w:qFormat/>
    <w:rPr>
      <w:rFonts w:eastAsia="Courier New"/>
    </w:rPr>
  </w:style>
  <w:style w:type="character" w:styleId="ListLabel1757" w:customStyle="1">
    <w:name w:val="ListLabel 1757"/>
    <w:qFormat/>
    <w:rPr>
      <w:rFonts w:eastAsia="Symbol"/>
    </w:rPr>
  </w:style>
  <w:style w:type="character" w:styleId="ListLabel1756" w:customStyle="1">
    <w:name w:val="ListLabel 1756"/>
    <w:qFormat/>
    <w:rPr>
      <w:rFonts w:eastAsia="Wingdings"/>
    </w:rPr>
  </w:style>
  <w:style w:type="character" w:styleId="ListLabel1755" w:customStyle="1">
    <w:name w:val="ListLabel 1755"/>
    <w:qFormat/>
    <w:rPr>
      <w:rFonts w:eastAsia="Courier New"/>
    </w:rPr>
  </w:style>
  <w:style w:type="character" w:styleId="ListLabel1754" w:customStyle="1">
    <w:name w:val="ListLabel 1754"/>
    <w:qFormat/>
    <w:rPr>
      <w:rFonts w:eastAsia="Symbol"/>
    </w:rPr>
  </w:style>
  <w:style w:type="character" w:styleId="ListLabel1753" w:customStyle="1">
    <w:name w:val="ListLabel 1753"/>
    <w:qFormat/>
    <w:rPr>
      <w:rFonts w:eastAsia="Wingdings"/>
    </w:rPr>
  </w:style>
  <w:style w:type="character" w:styleId="ListLabel1752" w:customStyle="1">
    <w:name w:val="ListLabel 1752"/>
    <w:qFormat/>
    <w:rPr>
      <w:rFonts w:eastAsia="Courier New"/>
    </w:rPr>
  </w:style>
  <w:style w:type="character" w:styleId="ListLabel1751" w:customStyle="1">
    <w:name w:val="ListLabel 1751"/>
    <w:qFormat/>
    <w:rPr>
      <w:rFonts w:eastAsia="Wingdings"/>
      <w:color w:val="auto"/>
    </w:rPr>
  </w:style>
  <w:style w:type="character" w:styleId="ListLabel1750" w:customStyle="1">
    <w:name w:val="ListLabel 1750"/>
    <w:qFormat/>
    <w:rPr>
      <w:rFonts w:eastAsia="Times New Roman"/>
    </w:rPr>
  </w:style>
  <w:style w:type="character" w:styleId="ListLabel1749" w:customStyle="1">
    <w:name w:val="ListLabel 1749"/>
    <w:qFormat/>
    <w:rPr>
      <w:rFonts w:eastAsia="Times New Roman"/>
    </w:rPr>
  </w:style>
  <w:style w:type="character" w:styleId="ListLabel1748" w:customStyle="1">
    <w:name w:val="ListLabel 1748"/>
    <w:qFormat/>
    <w:rPr>
      <w:rFonts w:eastAsia="Times New Roman"/>
    </w:rPr>
  </w:style>
  <w:style w:type="character" w:styleId="ListLabel1747" w:customStyle="1">
    <w:name w:val="ListLabel 1747"/>
    <w:qFormat/>
    <w:rPr>
      <w:rFonts w:eastAsia="Times New Roman"/>
    </w:rPr>
  </w:style>
  <w:style w:type="character" w:styleId="ListLabel1746" w:customStyle="1">
    <w:name w:val="ListLabel 1746"/>
    <w:qFormat/>
    <w:rPr>
      <w:rFonts w:eastAsia="Times New Roman"/>
    </w:rPr>
  </w:style>
  <w:style w:type="character" w:styleId="ListLabel1745" w:customStyle="1">
    <w:name w:val="ListLabel 1745"/>
    <w:qFormat/>
    <w:rPr>
      <w:rFonts w:eastAsia="Times New Roman"/>
    </w:rPr>
  </w:style>
  <w:style w:type="character" w:styleId="ListLabel1744" w:customStyle="1">
    <w:name w:val="ListLabel 1744"/>
    <w:qFormat/>
    <w:rPr>
      <w:rFonts w:eastAsia="Times New Roman"/>
    </w:rPr>
  </w:style>
  <w:style w:type="character" w:styleId="ListLabel1743" w:customStyle="1">
    <w:name w:val="ListLabel 1743"/>
    <w:qFormat/>
    <w:rPr>
      <w:rFonts w:eastAsia="Times New Roman"/>
    </w:rPr>
  </w:style>
  <w:style w:type="character" w:styleId="ListLabel1742" w:customStyle="1">
    <w:name w:val="ListLabel 1742"/>
    <w:qFormat/>
    <w:rPr>
      <w:rFonts w:eastAsia="Times New Roman"/>
      <w:sz w:val="16"/>
    </w:rPr>
  </w:style>
  <w:style w:type="character" w:styleId="ListLabel1741" w:customStyle="1">
    <w:name w:val="ListLabel 1741"/>
    <w:qFormat/>
    <w:rPr>
      <w:rFonts w:eastAsia="Times New Roman"/>
      <w:sz w:val="22"/>
    </w:rPr>
  </w:style>
  <w:style w:type="character" w:styleId="ListLabel1740" w:customStyle="1">
    <w:name w:val="ListLabel 1740"/>
    <w:qFormat/>
    <w:rPr>
      <w:rFonts w:eastAsia="Tahoma"/>
      <w:sz w:val="22"/>
      <w:lang w:eastAsia="el-GR"/>
    </w:rPr>
  </w:style>
  <w:style w:type="character" w:styleId="ListLabel1739" w:customStyle="1">
    <w:name w:val="ListLabel 1739"/>
    <w:qFormat/>
    <w:rPr>
      <w:rFonts w:eastAsia="Tahoma"/>
      <w:sz w:val="22"/>
      <w:lang w:eastAsia="en-US"/>
    </w:rPr>
  </w:style>
  <w:style w:type="character" w:styleId="ListLabel1738" w:customStyle="1">
    <w:name w:val="ListLabel 1738"/>
    <w:qFormat/>
    <w:rPr>
      <w:rFonts w:eastAsia="Calibri"/>
    </w:rPr>
  </w:style>
  <w:style w:type="character" w:styleId="ListLabel1737" w:customStyle="1">
    <w:name w:val="ListLabel 1737"/>
    <w:qFormat/>
    <w:rPr>
      <w:rFonts w:ascii="Calibri" w:hAnsi="Calibri" w:eastAsia="Calibri"/>
      <w:sz w:val="22"/>
    </w:rPr>
  </w:style>
  <w:style w:type="character" w:styleId="ListLabel1736" w:customStyle="1">
    <w:name w:val="ListLabel 1736"/>
    <w:qFormat/>
    <w:rPr>
      <w:rFonts w:eastAsia="Tahoma"/>
      <w:color w:val="auto"/>
      <w:sz w:val="22"/>
      <w:lang w:eastAsia="el-GR"/>
    </w:rPr>
  </w:style>
  <w:style w:type="character" w:styleId="ListLabel1735" w:customStyle="1">
    <w:name w:val="ListLabel 1735"/>
    <w:qFormat/>
    <w:rPr>
      <w:rFonts w:eastAsia="Tahoma"/>
      <w:i/>
      <w:color w:val="auto"/>
      <w:sz w:val="22"/>
    </w:rPr>
  </w:style>
  <w:style w:type="character" w:styleId="ListLabel1734" w:customStyle="1">
    <w:name w:val="ListLabel 1734"/>
    <w:qFormat/>
    <w:rPr>
      <w:rFonts w:eastAsia="Calibri"/>
      <w:b/>
      <w:sz w:val="22"/>
      <w:lang w:eastAsia="el-GR"/>
    </w:rPr>
  </w:style>
  <w:style w:type="character" w:styleId="ListLabel1733" w:customStyle="1">
    <w:name w:val="ListLabel 1733"/>
    <w:qFormat/>
    <w:rPr>
      <w:rFonts w:eastAsia="Calibri"/>
      <w:b/>
      <w:sz w:val="22"/>
      <w:lang w:eastAsia="en-US"/>
    </w:rPr>
  </w:style>
  <w:style w:type="character" w:styleId="ListLabel1732" w:customStyle="1">
    <w:name w:val="ListLabel 1732"/>
    <w:qFormat/>
    <w:rPr>
      <w:rFonts w:eastAsia="Calibri"/>
      <w:lang w:eastAsia="el-GR"/>
    </w:rPr>
  </w:style>
  <w:style w:type="character" w:styleId="ListLabel1731" w:customStyle="1">
    <w:name w:val="ListLabel 1731"/>
    <w:qFormat/>
    <w:rPr>
      <w:rFonts w:eastAsia="Calibri"/>
    </w:rPr>
  </w:style>
  <w:style w:type="character" w:styleId="ListLabel1730" w:customStyle="1">
    <w:name w:val="ListLabel 1730"/>
    <w:qFormat/>
    <w:rPr>
      <w:rFonts w:eastAsia="Calibri"/>
      <w:b/>
      <w:color w:val="0000FF"/>
      <w:sz w:val="22"/>
      <w:u w:val="single"/>
      <w:lang w:eastAsia="el-GR"/>
    </w:rPr>
  </w:style>
  <w:style w:type="character" w:styleId="ListLabel1729" w:customStyle="1">
    <w:name w:val="ListLabel 1729"/>
    <w:qFormat/>
    <w:rPr>
      <w:rFonts w:eastAsia="Calibri"/>
      <w:b/>
      <w:sz w:val="22"/>
      <w:lang w:eastAsia="en-US"/>
    </w:rPr>
  </w:style>
  <w:style w:type="character" w:styleId="ListLabel1728" w:customStyle="1">
    <w:name w:val="ListLabel 1728"/>
    <w:qFormat/>
    <w:rPr>
      <w:rFonts w:eastAsia="Calibri"/>
      <w:b/>
      <w:sz w:val="22"/>
    </w:rPr>
  </w:style>
  <w:style w:type="character" w:styleId="ListLabel1727" w:customStyle="1">
    <w:name w:val="ListLabel 1727"/>
    <w:qFormat/>
    <w:rPr>
      <w:rFonts w:eastAsia="Calibri"/>
      <w:b/>
      <w:sz w:val="22"/>
      <w:lang w:eastAsia="el-GR"/>
    </w:rPr>
  </w:style>
  <w:style w:type="character" w:styleId="ListLabel1726" w:customStyle="1">
    <w:name w:val="ListLabel 1726"/>
    <w:qFormat/>
    <w:rPr>
      <w:rFonts w:eastAsia="Calibri"/>
      <w:b/>
      <w:sz w:val="22"/>
      <w:lang w:eastAsia="el-GR"/>
    </w:rPr>
  </w:style>
  <w:style w:type="character" w:styleId="ListLabel1725" w:customStyle="1">
    <w:name w:val="ListLabel 1725"/>
    <w:qFormat/>
    <w:rPr>
      <w:rFonts w:eastAsia="Calibri"/>
      <w:b/>
      <w:sz w:val="22"/>
      <w:lang w:eastAsia="el-GR"/>
    </w:rPr>
  </w:style>
  <w:style w:type="character" w:styleId="ListLabel1724" w:customStyle="1">
    <w:name w:val="ListLabel 1724"/>
    <w:qFormat/>
    <w:rPr>
      <w:rFonts w:eastAsia="Calibri"/>
      <w:b/>
      <w:sz w:val="22"/>
      <w:lang w:eastAsia="el-GR"/>
    </w:rPr>
  </w:style>
  <w:style w:type="character" w:styleId="ListLabel1723" w:customStyle="1">
    <w:name w:val="ListLabel 1723"/>
    <w:qFormat/>
    <w:rPr>
      <w:rFonts w:eastAsia="Calibri"/>
      <w:color w:val="0000FF"/>
      <w:sz w:val="22"/>
      <w:u w:val="single"/>
      <w:lang w:eastAsia="el-GR"/>
    </w:rPr>
  </w:style>
  <w:style w:type="character" w:styleId="ListLabel1722" w:customStyle="1">
    <w:name w:val="ListLabel 1722"/>
    <w:qFormat/>
    <w:rPr>
      <w:rFonts w:eastAsia="Calibri"/>
      <w:sz w:val="22"/>
    </w:rPr>
  </w:style>
  <w:style w:type="character" w:styleId="ListLabel1721" w:customStyle="1">
    <w:name w:val="ListLabel 1721"/>
    <w:qFormat/>
    <w:rPr>
      <w:rFonts w:eastAsia="Calibri"/>
      <w:sz w:val="22"/>
      <w:lang w:eastAsia="en-US"/>
    </w:rPr>
  </w:style>
  <w:style w:type="character" w:styleId="ListLabel1720" w:customStyle="1">
    <w:name w:val="ListLabel 1720"/>
    <w:qFormat/>
    <w:rPr>
      <w:rFonts w:eastAsia="Symbol"/>
    </w:rPr>
  </w:style>
  <w:style w:type="character" w:styleId="ListLabel1719" w:customStyle="1">
    <w:name w:val="ListLabel 1719"/>
    <w:qFormat/>
    <w:rPr>
      <w:rFonts w:eastAsia="Symbol"/>
    </w:rPr>
  </w:style>
  <w:style w:type="character" w:styleId="ListLabel1718" w:customStyle="1">
    <w:name w:val="ListLabel 1718"/>
    <w:qFormat/>
    <w:rPr>
      <w:rFonts w:eastAsia="Symbol"/>
    </w:rPr>
  </w:style>
  <w:style w:type="character" w:styleId="ListLabel1717" w:customStyle="1">
    <w:name w:val="ListLabel 1717"/>
    <w:qFormat/>
    <w:rPr>
      <w:rFonts w:eastAsia="Symbol"/>
    </w:rPr>
  </w:style>
  <w:style w:type="character" w:styleId="ListLabel1716" w:customStyle="1">
    <w:name w:val="ListLabel 1716"/>
    <w:qFormat/>
    <w:rPr>
      <w:rFonts w:eastAsia="Symbol"/>
    </w:rPr>
  </w:style>
  <w:style w:type="character" w:styleId="ListLabel1715" w:customStyle="1">
    <w:name w:val="ListLabel 1715"/>
    <w:qFormat/>
    <w:rPr>
      <w:rFonts w:eastAsia="Symbol"/>
    </w:rPr>
  </w:style>
  <w:style w:type="character" w:styleId="ListLabel1714" w:customStyle="1">
    <w:name w:val="ListLabel 1714"/>
    <w:qFormat/>
    <w:rPr>
      <w:rFonts w:eastAsia="Symbol"/>
    </w:rPr>
  </w:style>
  <w:style w:type="character" w:styleId="ListLabel1713" w:customStyle="1">
    <w:name w:val="ListLabel 1713"/>
    <w:qFormat/>
    <w:rPr>
      <w:rFonts w:eastAsia="Symbol"/>
    </w:rPr>
  </w:style>
  <w:style w:type="character" w:styleId="ListLabel1712" w:customStyle="1">
    <w:name w:val="ListLabel 1712"/>
    <w:qFormat/>
    <w:rPr>
      <w:rFonts w:eastAsia="Symbol"/>
    </w:rPr>
  </w:style>
  <w:style w:type="character" w:styleId="ListLabel1711" w:customStyle="1">
    <w:name w:val="ListLabel 1711"/>
    <w:qFormat/>
    <w:rPr>
      <w:rFonts w:eastAsia="Wingdings"/>
    </w:rPr>
  </w:style>
  <w:style w:type="character" w:styleId="ListLabel1710" w:customStyle="1">
    <w:name w:val="ListLabel 1710"/>
    <w:qFormat/>
    <w:rPr>
      <w:rFonts w:eastAsia="Courier New"/>
    </w:rPr>
  </w:style>
  <w:style w:type="character" w:styleId="ListLabel1709" w:customStyle="1">
    <w:name w:val="ListLabel 1709"/>
    <w:qFormat/>
    <w:rPr>
      <w:rFonts w:eastAsia="Symbol"/>
    </w:rPr>
  </w:style>
  <w:style w:type="character" w:styleId="ListLabel1708" w:customStyle="1">
    <w:name w:val="ListLabel 1708"/>
    <w:qFormat/>
    <w:rPr>
      <w:rFonts w:eastAsia="Wingdings"/>
    </w:rPr>
  </w:style>
  <w:style w:type="character" w:styleId="ListLabel1707" w:customStyle="1">
    <w:name w:val="ListLabel 1707"/>
    <w:qFormat/>
    <w:rPr>
      <w:rFonts w:eastAsia="Courier New"/>
    </w:rPr>
  </w:style>
  <w:style w:type="character" w:styleId="ListLabel1706" w:customStyle="1">
    <w:name w:val="ListLabel 1706"/>
    <w:qFormat/>
    <w:rPr>
      <w:rFonts w:eastAsia="Symbol"/>
    </w:rPr>
  </w:style>
  <w:style w:type="character" w:styleId="ListLabel1705" w:customStyle="1">
    <w:name w:val="ListLabel 1705"/>
    <w:qFormat/>
    <w:rPr>
      <w:rFonts w:eastAsia="Wingdings"/>
    </w:rPr>
  </w:style>
  <w:style w:type="character" w:styleId="ListLabel1704" w:customStyle="1">
    <w:name w:val="ListLabel 1704"/>
    <w:qFormat/>
    <w:rPr>
      <w:rFonts w:eastAsia="Courier New"/>
    </w:rPr>
  </w:style>
  <w:style w:type="character" w:styleId="ListLabel1703" w:customStyle="1">
    <w:name w:val="ListLabel 1703"/>
    <w:qFormat/>
    <w:rPr>
      <w:rFonts w:ascii="Calibri" w:hAnsi="Calibri" w:eastAsia="Wingdings"/>
      <w:b/>
      <w:sz w:val="22"/>
    </w:rPr>
  </w:style>
  <w:style w:type="character" w:styleId="ListLabel1702" w:customStyle="1">
    <w:name w:val="ListLabel 1702"/>
    <w:qFormat/>
    <w:rPr>
      <w:rFonts w:eastAsia="Wingdings"/>
    </w:rPr>
  </w:style>
  <w:style w:type="character" w:styleId="ListLabel1701" w:customStyle="1">
    <w:name w:val="ListLabel 1701"/>
    <w:qFormat/>
    <w:rPr>
      <w:rFonts w:eastAsia="Courier New"/>
    </w:rPr>
  </w:style>
  <w:style w:type="character" w:styleId="ListLabel1700" w:customStyle="1">
    <w:name w:val="ListLabel 1700"/>
    <w:qFormat/>
    <w:rPr>
      <w:rFonts w:eastAsia="Symbol"/>
    </w:rPr>
  </w:style>
  <w:style w:type="character" w:styleId="ListLabel1699" w:customStyle="1">
    <w:name w:val="ListLabel 1699"/>
    <w:qFormat/>
    <w:rPr>
      <w:rFonts w:eastAsia="Wingdings"/>
    </w:rPr>
  </w:style>
  <w:style w:type="character" w:styleId="ListLabel1698" w:customStyle="1">
    <w:name w:val="ListLabel 1698"/>
    <w:qFormat/>
    <w:rPr>
      <w:rFonts w:eastAsia="Courier New"/>
    </w:rPr>
  </w:style>
  <w:style w:type="character" w:styleId="ListLabel1697" w:customStyle="1">
    <w:name w:val="ListLabel 1697"/>
    <w:qFormat/>
    <w:rPr>
      <w:rFonts w:eastAsia="Symbol"/>
    </w:rPr>
  </w:style>
  <w:style w:type="character" w:styleId="ListLabel1696" w:customStyle="1">
    <w:name w:val="ListLabel 1696"/>
    <w:qFormat/>
    <w:rPr>
      <w:rFonts w:eastAsia="Wingdings"/>
    </w:rPr>
  </w:style>
  <w:style w:type="character" w:styleId="ListLabel1695" w:customStyle="1">
    <w:name w:val="ListLabel 1695"/>
    <w:qFormat/>
    <w:rPr>
      <w:rFonts w:eastAsia="Courier New"/>
    </w:rPr>
  </w:style>
  <w:style w:type="character" w:styleId="ListLabel1694" w:customStyle="1">
    <w:name w:val="ListLabel 1694"/>
    <w:qFormat/>
    <w:rPr>
      <w:rFonts w:eastAsia="Wingdings"/>
    </w:rPr>
  </w:style>
  <w:style w:type="character" w:styleId="ListLabel1693" w:customStyle="1">
    <w:name w:val="ListLabel 1693"/>
    <w:qFormat/>
    <w:rPr>
      <w:rFonts w:eastAsia="Calibri"/>
      <w:b w:val="false"/>
      <w:i/>
      <w:sz w:val="22"/>
    </w:rPr>
  </w:style>
  <w:style w:type="character" w:styleId="ListLabel1692" w:customStyle="1">
    <w:name w:val="ListLabel 1692"/>
    <w:qFormat/>
    <w:rPr>
      <w:rFonts w:eastAsia="Wingdings"/>
    </w:rPr>
  </w:style>
  <w:style w:type="character" w:styleId="ListLabel1691" w:customStyle="1">
    <w:name w:val="ListLabel 1691"/>
    <w:qFormat/>
    <w:rPr>
      <w:rFonts w:eastAsia="Courier New"/>
    </w:rPr>
  </w:style>
  <w:style w:type="character" w:styleId="ListLabel1690" w:customStyle="1">
    <w:name w:val="ListLabel 1690"/>
    <w:qFormat/>
    <w:rPr>
      <w:rFonts w:eastAsia="Symbol"/>
    </w:rPr>
  </w:style>
  <w:style w:type="character" w:styleId="ListLabel1689" w:customStyle="1">
    <w:name w:val="ListLabel 1689"/>
    <w:qFormat/>
    <w:rPr>
      <w:rFonts w:eastAsia="Wingdings"/>
    </w:rPr>
  </w:style>
  <w:style w:type="character" w:styleId="ListLabel1688" w:customStyle="1">
    <w:name w:val="ListLabel 1688"/>
    <w:qFormat/>
    <w:rPr>
      <w:rFonts w:eastAsia="Courier New"/>
    </w:rPr>
  </w:style>
  <w:style w:type="character" w:styleId="ListLabel1687" w:customStyle="1">
    <w:name w:val="ListLabel 1687"/>
    <w:qFormat/>
    <w:rPr>
      <w:rFonts w:eastAsia="Symbol"/>
    </w:rPr>
  </w:style>
  <w:style w:type="character" w:styleId="ListLabel1686" w:customStyle="1">
    <w:name w:val="ListLabel 1686"/>
    <w:qFormat/>
    <w:rPr>
      <w:rFonts w:eastAsia="Wingdings"/>
    </w:rPr>
  </w:style>
  <w:style w:type="character" w:styleId="ListLabel1685" w:customStyle="1">
    <w:name w:val="ListLabel 1685"/>
    <w:qFormat/>
    <w:rPr>
      <w:rFonts w:eastAsia="Courier New"/>
    </w:rPr>
  </w:style>
  <w:style w:type="character" w:styleId="ListLabel1684" w:customStyle="1">
    <w:name w:val="ListLabel 1684"/>
    <w:qFormat/>
    <w:rPr>
      <w:rFonts w:ascii="Calibri" w:hAnsi="Calibri" w:eastAsia="Symbol"/>
      <w:sz w:val="22"/>
    </w:rPr>
  </w:style>
  <w:style w:type="character" w:styleId="ListLabel1683" w:customStyle="1">
    <w:name w:val="ListLabel 1683"/>
    <w:qFormat/>
    <w:rPr>
      <w:rFonts w:eastAsia="Symbol"/>
      <w:b/>
      <w:lang w:eastAsia="el-GR"/>
    </w:rPr>
  </w:style>
  <w:style w:type="character" w:styleId="ListLabel1682" w:customStyle="1">
    <w:name w:val="ListLabel 1682"/>
    <w:qFormat/>
    <w:rPr>
      <w:rFonts w:eastAsia="Wingdings"/>
    </w:rPr>
  </w:style>
  <w:style w:type="character" w:styleId="ListLabel1681" w:customStyle="1">
    <w:name w:val="ListLabel 1681"/>
    <w:qFormat/>
    <w:rPr>
      <w:rFonts w:eastAsia="Courier New"/>
    </w:rPr>
  </w:style>
  <w:style w:type="character" w:styleId="ListLabel1680" w:customStyle="1">
    <w:name w:val="ListLabel 1680"/>
    <w:qFormat/>
    <w:rPr>
      <w:rFonts w:eastAsia="Symbol"/>
    </w:rPr>
  </w:style>
  <w:style w:type="character" w:styleId="ListLabel1679" w:customStyle="1">
    <w:name w:val="ListLabel 1679"/>
    <w:qFormat/>
    <w:rPr>
      <w:rFonts w:eastAsia="Wingdings"/>
    </w:rPr>
  </w:style>
  <w:style w:type="character" w:styleId="ListLabel1678" w:customStyle="1">
    <w:name w:val="ListLabel 1678"/>
    <w:qFormat/>
    <w:rPr>
      <w:rFonts w:eastAsia="Courier New"/>
    </w:rPr>
  </w:style>
  <w:style w:type="character" w:styleId="ListLabel1677" w:customStyle="1">
    <w:name w:val="ListLabel 1677"/>
    <w:qFormat/>
    <w:rPr>
      <w:rFonts w:eastAsia="Symbol"/>
    </w:rPr>
  </w:style>
  <w:style w:type="character" w:styleId="ListLabel1676" w:customStyle="1">
    <w:name w:val="ListLabel 1676"/>
    <w:qFormat/>
    <w:rPr>
      <w:rFonts w:eastAsia="Wingdings"/>
    </w:rPr>
  </w:style>
  <w:style w:type="character" w:styleId="ListLabel1675" w:customStyle="1">
    <w:name w:val="ListLabel 1675"/>
    <w:qFormat/>
    <w:rPr>
      <w:rFonts w:eastAsia="Courier New"/>
    </w:rPr>
  </w:style>
  <w:style w:type="character" w:styleId="ListLabel1674" w:customStyle="1">
    <w:name w:val="ListLabel 1674"/>
    <w:qFormat/>
    <w:rPr>
      <w:rFonts w:eastAsia="Symbol"/>
    </w:rPr>
  </w:style>
  <w:style w:type="character" w:styleId="ListLabel1673" w:customStyle="1">
    <w:name w:val="ListLabel 1673"/>
    <w:qFormat/>
    <w:rPr>
      <w:rFonts w:eastAsia="Times New Roman"/>
    </w:rPr>
  </w:style>
  <w:style w:type="character" w:styleId="ListLabel1672" w:customStyle="1">
    <w:name w:val="ListLabel 1672"/>
    <w:qFormat/>
    <w:rPr>
      <w:rFonts w:eastAsia="Times New Roman"/>
    </w:rPr>
  </w:style>
  <w:style w:type="character" w:styleId="ListLabel1671" w:customStyle="1">
    <w:name w:val="ListLabel 1671"/>
    <w:qFormat/>
    <w:rPr>
      <w:rFonts w:eastAsia="Times New Roman"/>
    </w:rPr>
  </w:style>
  <w:style w:type="character" w:styleId="ListLabel1670" w:customStyle="1">
    <w:name w:val="ListLabel 1670"/>
    <w:qFormat/>
    <w:rPr>
      <w:rFonts w:eastAsia="Times New Roman"/>
    </w:rPr>
  </w:style>
  <w:style w:type="character" w:styleId="ListLabel1669" w:customStyle="1">
    <w:name w:val="ListLabel 1669"/>
    <w:qFormat/>
    <w:rPr>
      <w:rFonts w:eastAsia="Times New Roman"/>
    </w:rPr>
  </w:style>
  <w:style w:type="character" w:styleId="ListLabel1668" w:customStyle="1">
    <w:name w:val="ListLabel 1668"/>
    <w:qFormat/>
    <w:rPr>
      <w:rFonts w:eastAsia="Times New Roman"/>
    </w:rPr>
  </w:style>
  <w:style w:type="character" w:styleId="ListLabel1667" w:customStyle="1">
    <w:name w:val="ListLabel 1667"/>
    <w:qFormat/>
    <w:rPr>
      <w:rFonts w:eastAsia="Times New Roman"/>
    </w:rPr>
  </w:style>
  <w:style w:type="character" w:styleId="ListLabel1666" w:customStyle="1">
    <w:name w:val="ListLabel 1666"/>
    <w:qFormat/>
    <w:rPr>
      <w:rFonts w:eastAsia="Times New Roman"/>
    </w:rPr>
  </w:style>
  <w:style w:type="character" w:styleId="ListLabel1665" w:customStyle="1">
    <w:name w:val="ListLabel 1665"/>
    <w:qFormat/>
    <w:rPr>
      <w:rFonts w:ascii="Calibri" w:hAnsi="Calibri" w:eastAsia="Times New Roman"/>
    </w:rPr>
  </w:style>
  <w:style w:type="character" w:styleId="ListLabel1664" w:customStyle="1">
    <w:name w:val="ListLabel 1664"/>
    <w:qFormat/>
    <w:rPr>
      <w:rFonts w:eastAsia="Wingdings"/>
    </w:rPr>
  </w:style>
  <w:style w:type="character" w:styleId="ListLabel1663" w:customStyle="1">
    <w:name w:val="ListLabel 1663"/>
    <w:qFormat/>
    <w:rPr>
      <w:rFonts w:eastAsia="Courier New"/>
    </w:rPr>
  </w:style>
  <w:style w:type="character" w:styleId="ListLabel1662" w:customStyle="1">
    <w:name w:val="ListLabel 1662"/>
    <w:qFormat/>
    <w:rPr>
      <w:rFonts w:eastAsia="Symbol"/>
    </w:rPr>
  </w:style>
  <w:style w:type="character" w:styleId="ListLabel1661" w:customStyle="1">
    <w:name w:val="ListLabel 1661"/>
    <w:qFormat/>
    <w:rPr>
      <w:rFonts w:eastAsia="Wingdings"/>
    </w:rPr>
  </w:style>
  <w:style w:type="character" w:styleId="ListLabel1660" w:customStyle="1">
    <w:name w:val="ListLabel 1660"/>
    <w:qFormat/>
    <w:rPr>
      <w:rFonts w:eastAsia="Courier New"/>
    </w:rPr>
  </w:style>
  <w:style w:type="character" w:styleId="ListLabel1659" w:customStyle="1">
    <w:name w:val="ListLabel 1659"/>
    <w:qFormat/>
    <w:rPr>
      <w:rFonts w:eastAsia="Symbol"/>
    </w:rPr>
  </w:style>
  <w:style w:type="character" w:styleId="ListLabel1658" w:customStyle="1">
    <w:name w:val="ListLabel 1658"/>
    <w:qFormat/>
    <w:rPr>
      <w:rFonts w:eastAsia="Wingdings"/>
    </w:rPr>
  </w:style>
  <w:style w:type="character" w:styleId="ListLabel1657" w:customStyle="1">
    <w:name w:val="ListLabel 1657"/>
    <w:qFormat/>
    <w:rPr>
      <w:rFonts w:eastAsia="Courier New"/>
    </w:rPr>
  </w:style>
  <w:style w:type="character" w:styleId="ListLabel1656" w:customStyle="1">
    <w:name w:val="ListLabel 1656"/>
    <w:qFormat/>
    <w:rPr>
      <w:rFonts w:eastAsia="Wingdings"/>
      <w:color w:val="auto"/>
    </w:rPr>
  </w:style>
  <w:style w:type="character" w:styleId="ListLabel1655" w:customStyle="1">
    <w:name w:val="ListLabel 1655"/>
    <w:qFormat/>
    <w:rPr>
      <w:rFonts w:eastAsia="Times New Roman"/>
    </w:rPr>
  </w:style>
  <w:style w:type="character" w:styleId="ListLabel1654" w:customStyle="1">
    <w:name w:val="ListLabel 1654"/>
    <w:qFormat/>
    <w:rPr>
      <w:rFonts w:eastAsia="Times New Roman"/>
    </w:rPr>
  </w:style>
  <w:style w:type="character" w:styleId="ListLabel1653" w:customStyle="1">
    <w:name w:val="ListLabel 1653"/>
    <w:qFormat/>
    <w:rPr>
      <w:rFonts w:eastAsia="Times New Roman"/>
    </w:rPr>
  </w:style>
  <w:style w:type="character" w:styleId="ListLabel1652" w:customStyle="1">
    <w:name w:val="ListLabel 1652"/>
    <w:qFormat/>
    <w:rPr>
      <w:rFonts w:eastAsia="Times New Roman"/>
    </w:rPr>
  </w:style>
  <w:style w:type="character" w:styleId="ListLabel1651" w:customStyle="1">
    <w:name w:val="ListLabel 1651"/>
    <w:qFormat/>
    <w:rPr>
      <w:rFonts w:eastAsia="Times New Roman"/>
    </w:rPr>
  </w:style>
  <w:style w:type="character" w:styleId="ListLabel1650" w:customStyle="1">
    <w:name w:val="ListLabel 1650"/>
    <w:qFormat/>
    <w:rPr>
      <w:rFonts w:eastAsia="Times New Roman"/>
    </w:rPr>
  </w:style>
  <w:style w:type="character" w:styleId="ListLabel1649" w:customStyle="1">
    <w:name w:val="ListLabel 1649"/>
    <w:qFormat/>
    <w:rPr>
      <w:rFonts w:eastAsia="Times New Roman"/>
    </w:rPr>
  </w:style>
  <w:style w:type="character" w:styleId="ListLabel1648" w:customStyle="1">
    <w:name w:val="ListLabel 1648"/>
    <w:qFormat/>
    <w:rPr>
      <w:rFonts w:eastAsia="Times New Roman"/>
    </w:rPr>
  </w:style>
  <w:style w:type="character" w:styleId="ListLabel1647" w:customStyle="1">
    <w:name w:val="ListLabel 1647"/>
    <w:qFormat/>
    <w:rPr>
      <w:rFonts w:eastAsia="Times New Roman"/>
      <w:sz w:val="16"/>
    </w:rPr>
  </w:style>
  <w:style w:type="character" w:styleId="ListLabel1646" w:customStyle="1">
    <w:name w:val="ListLabel 1646"/>
    <w:qFormat/>
    <w:rPr>
      <w:rFonts w:eastAsia="Times New Roman"/>
      <w:sz w:val="22"/>
    </w:rPr>
  </w:style>
  <w:style w:type="character" w:styleId="ListLabel1645" w:customStyle="1">
    <w:name w:val="ListLabel 1645"/>
    <w:qFormat/>
    <w:rPr>
      <w:rFonts w:eastAsia="Tahoma"/>
      <w:sz w:val="22"/>
      <w:lang w:eastAsia="el-GR"/>
    </w:rPr>
  </w:style>
  <w:style w:type="character" w:styleId="ListLabel1644" w:customStyle="1">
    <w:name w:val="ListLabel 1644"/>
    <w:qFormat/>
    <w:rPr>
      <w:rFonts w:eastAsia="Tahoma"/>
      <w:sz w:val="22"/>
      <w:lang w:eastAsia="en-US"/>
    </w:rPr>
  </w:style>
  <w:style w:type="character" w:styleId="ListLabel1643" w:customStyle="1">
    <w:name w:val="ListLabel 1643"/>
    <w:qFormat/>
    <w:rPr>
      <w:rFonts w:eastAsia="Calibri"/>
    </w:rPr>
  </w:style>
  <w:style w:type="character" w:styleId="ListLabel1642" w:customStyle="1">
    <w:name w:val="ListLabel 1642"/>
    <w:qFormat/>
    <w:rPr>
      <w:rFonts w:ascii="Calibri" w:hAnsi="Calibri" w:eastAsia="Calibri"/>
      <w:sz w:val="22"/>
    </w:rPr>
  </w:style>
  <w:style w:type="character" w:styleId="ListLabel1641" w:customStyle="1">
    <w:name w:val="ListLabel 1641"/>
    <w:qFormat/>
    <w:rPr>
      <w:rFonts w:eastAsia="Tahoma"/>
      <w:color w:val="auto"/>
      <w:sz w:val="22"/>
      <w:lang w:eastAsia="el-GR"/>
    </w:rPr>
  </w:style>
  <w:style w:type="character" w:styleId="ListLabel1640" w:customStyle="1">
    <w:name w:val="ListLabel 1640"/>
    <w:qFormat/>
    <w:rPr>
      <w:rFonts w:eastAsia="Tahoma"/>
      <w:i/>
      <w:color w:val="auto"/>
      <w:sz w:val="22"/>
    </w:rPr>
  </w:style>
  <w:style w:type="character" w:styleId="ListLabel1639" w:customStyle="1">
    <w:name w:val="ListLabel 1639"/>
    <w:qFormat/>
    <w:rPr>
      <w:rFonts w:eastAsia="Calibri"/>
      <w:b/>
      <w:sz w:val="22"/>
      <w:lang w:eastAsia="el-GR"/>
    </w:rPr>
  </w:style>
  <w:style w:type="character" w:styleId="ListLabel1638" w:customStyle="1">
    <w:name w:val="ListLabel 1638"/>
    <w:qFormat/>
    <w:rPr>
      <w:rFonts w:eastAsia="Calibri"/>
      <w:b/>
      <w:sz w:val="22"/>
      <w:lang w:eastAsia="en-US"/>
    </w:rPr>
  </w:style>
  <w:style w:type="character" w:styleId="ListLabel1637" w:customStyle="1">
    <w:name w:val="ListLabel 1637"/>
    <w:qFormat/>
    <w:rPr>
      <w:rFonts w:eastAsia="Calibri"/>
      <w:lang w:eastAsia="el-GR"/>
    </w:rPr>
  </w:style>
  <w:style w:type="character" w:styleId="ListLabel1636" w:customStyle="1">
    <w:name w:val="ListLabel 1636"/>
    <w:qFormat/>
    <w:rPr>
      <w:rFonts w:eastAsia="Calibri"/>
    </w:rPr>
  </w:style>
  <w:style w:type="character" w:styleId="ListLabel1635" w:customStyle="1">
    <w:name w:val="ListLabel 1635"/>
    <w:qFormat/>
    <w:rPr>
      <w:rFonts w:eastAsia="Calibri"/>
      <w:b/>
      <w:color w:val="0000FF"/>
      <w:sz w:val="22"/>
      <w:u w:val="single"/>
      <w:lang w:eastAsia="el-GR"/>
    </w:rPr>
  </w:style>
  <w:style w:type="character" w:styleId="ListLabel1634" w:customStyle="1">
    <w:name w:val="ListLabel 1634"/>
    <w:qFormat/>
    <w:rPr>
      <w:rFonts w:eastAsia="Calibri"/>
      <w:b/>
      <w:sz w:val="22"/>
      <w:lang w:eastAsia="en-US"/>
    </w:rPr>
  </w:style>
  <w:style w:type="character" w:styleId="ListLabel1633" w:customStyle="1">
    <w:name w:val="ListLabel 1633"/>
    <w:qFormat/>
    <w:rPr>
      <w:rFonts w:eastAsia="Calibri"/>
      <w:b/>
      <w:sz w:val="22"/>
    </w:rPr>
  </w:style>
  <w:style w:type="character" w:styleId="ListLabel1632" w:customStyle="1">
    <w:name w:val="ListLabel 1632"/>
    <w:qFormat/>
    <w:rPr>
      <w:rFonts w:eastAsia="Calibri"/>
      <w:b/>
      <w:sz w:val="22"/>
      <w:lang w:eastAsia="el-GR"/>
    </w:rPr>
  </w:style>
  <w:style w:type="character" w:styleId="ListLabel1631" w:customStyle="1">
    <w:name w:val="ListLabel 1631"/>
    <w:qFormat/>
    <w:rPr>
      <w:rFonts w:eastAsia="Calibri"/>
      <w:b/>
      <w:sz w:val="22"/>
      <w:lang w:eastAsia="el-GR"/>
    </w:rPr>
  </w:style>
  <w:style w:type="character" w:styleId="ListLabel1630" w:customStyle="1">
    <w:name w:val="ListLabel 1630"/>
    <w:qFormat/>
    <w:rPr>
      <w:rFonts w:eastAsia="Calibri"/>
      <w:b/>
      <w:sz w:val="22"/>
      <w:lang w:eastAsia="el-GR"/>
    </w:rPr>
  </w:style>
  <w:style w:type="character" w:styleId="ListLabel1629" w:customStyle="1">
    <w:name w:val="ListLabel 1629"/>
    <w:qFormat/>
    <w:rPr>
      <w:rFonts w:eastAsia="Calibri"/>
      <w:b/>
      <w:sz w:val="22"/>
      <w:lang w:eastAsia="el-GR"/>
    </w:rPr>
  </w:style>
  <w:style w:type="character" w:styleId="ListLabel1628" w:customStyle="1">
    <w:name w:val="ListLabel 1628"/>
    <w:qFormat/>
    <w:rPr>
      <w:rFonts w:eastAsia="Calibri"/>
      <w:color w:val="0000FF"/>
      <w:sz w:val="22"/>
      <w:u w:val="single"/>
      <w:lang w:eastAsia="el-GR"/>
    </w:rPr>
  </w:style>
  <w:style w:type="character" w:styleId="ListLabel1627" w:customStyle="1">
    <w:name w:val="ListLabel 1627"/>
    <w:qFormat/>
    <w:rPr>
      <w:rFonts w:eastAsia="Calibri"/>
      <w:sz w:val="22"/>
    </w:rPr>
  </w:style>
  <w:style w:type="character" w:styleId="ListLabel1626" w:customStyle="1">
    <w:name w:val="ListLabel 1626"/>
    <w:qFormat/>
    <w:rPr>
      <w:rFonts w:eastAsia="Calibri"/>
      <w:sz w:val="22"/>
      <w:lang w:eastAsia="en-US"/>
    </w:rPr>
  </w:style>
  <w:style w:type="character" w:styleId="ListLabel1625" w:customStyle="1">
    <w:name w:val="ListLabel 1625"/>
    <w:qFormat/>
    <w:rPr>
      <w:rFonts w:eastAsia="Symbol"/>
    </w:rPr>
  </w:style>
  <w:style w:type="character" w:styleId="ListLabel1624" w:customStyle="1">
    <w:name w:val="ListLabel 1624"/>
    <w:qFormat/>
    <w:rPr>
      <w:rFonts w:eastAsia="Symbol"/>
    </w:rPr>
  </w:style>
  <w:style w:type="character" w:styleId="ListLabel1623" w:customStyle="1">
    <w:name w:val="ListLabel 1623"/>
    <w:qFormat/>
    <w:rPr>
      <w:rFonts w:eastAsia="Symbol"/>
    </w:rPr>
  </w:style>
  <w:style w:type="character" w:styleId="ListLabel1622" w:customStyle="1">
    <w:name w:val="ListLabel 1622"/>
    <w:qFormat/>
    <w:rPr>
      <w:rFonts w:eastAsia="Symbol"/>
    </w:rPr>
  </w:style>
  <w:style w:type="character" w:styleId="ListLabel1621" w:customStyle="1">
    <w:name w:val="ListLabel 1621"/>
    <w:qFormat/>
    <w:rPr>
      <w:rFonts w:eastAsia="Symbol"/>
    </w:rPr>
  </w:style>
  <w:style w:type="character" w:styleId="ListLabel1620" w:customStyle="1">
    <w:name w:val="ListLabel 1620"/>
    <w:qFormat/>
    <w:rPr>
      <w:rFonts w:eastAsia="Symbol"/>
    </w:rPr>
  </w:style>
  <w:style w:type="character" w:styleId="ListLabel1619" w:customStyle="1">
    <w:name w:val="ListLabel 1619"/>
    <w:qFormat/>
    <w:rPr>
      <w:rFonts w:eastAsia="Symbol"/>
    </w:rPr>
  </w:style>
  <w:style w:type="character" w:styleId="ListLabel1618" w:customStyle="1">
    <w:name w:val="ListLabel 1618"/>
    <w:qFormat/>
    <w:rPr>
      <w:rFonts w:eastAsia="Symbol"/>
    </w:rPr>
  </w:style>
  <w:style w:type="character" w:styleId="ListLabel1617" w:customStyle="1">
    <w:name w:val="ListLabel 1617"/>
    <w:qFormat/>
    <w:rPr>
      <w:rFonts w:eastAsia="Symbol"/>
    </w:rPr>
  </w:style>
  <w:style w:type="character" w:styleId="ListLabel1616" w:customStyle="1">
    <w:name w:val="ListLabel 1616"/>
    <w:qFormat/>
    <w:rPr>
      <w:rFonts w:eastAsia="Wingdings"/>
    </w:rPr>
  </w:style>
  <w:style w:type="character" w:styleId="ListLabel1615" w:customStyle="1">
    <w:name w:val="ListLabel 1615"/>
    <w:qFormat/>
    <w:rPr>
      <w:rFonts w:eastAsia="Courier New"/>
    </w:rPr>
  </w:style>
  <w:style w:type="character" w:styleId="ListLabel1614" w:customStyle="1">
    <w:name w:val="ListLabel 1614"/>
    <w:qFormat/>
    <w:rPr>
      <w:rFonts w:eastAsia="Symbol"/>
    </w:rPr>
  </w:style>
  <w:style w:type="character" w:styleId="ListLabel1613" w:customStyle="1">
    <w:name w:val="ListLabel 1613"/>
    <w:qFormat/>
    <w:rPr>
      <w:rFonts w:eastAsia="Wingdings"/>
    </w:rPr>
  </w:style>
  <w:style w:type="character" w:styleId="ListLabel1612" w:customStyle="1">
    <w:name w:val="ListLabel 1612"/>
    <w:qFormat/>
    <w:rPr>
      <w:rFonts w:eastAsia="Courier New"/>
    </w:rPr>
  </w:style>
  <w:style w:type="character" w:styleId="ListLabel1611" w:customStyle="1">
    <w:name w:val="ListLabel 1611"/>
    <w:qFormat/>
    <w:rPr>
      <w:rFonts w:eastAsia="Symbol"/>
    </w:rPr>
  </w:style>
  <w:style w:type="character" w:styleId="ListLabel1610" w:customStyle="1">
    <w:name w:val="ListLabel 1610"/>
    <w:qFormat/>
    <w:rPr>
      <w:rFonts w:eastAsia="Wingdings"/>
    </w:rPr>
  </w:style>
  <w:style w:type="character" w:styleId="ListLabel1609" w:customStyle="1">
    <w:name w:val="ListLabel 1609"/>
    <w:qFormat/>
    <w:rPr>
      <w:rFonts w:eastAsia="Courier New"/>
    </w:rPr>
  </w:style>
  <w:style w:type="character" w:styleId="ListLabel1608" w:customStyle="1">
    <w:name w:val="ListLabel 1608"/>
    <w:qFormat/>
    <w:rPr>
      <w:rFonts w:ascii="Calibri" w:hAnsi="Calibri" w:eastAsia="Wingdings"/>
      <w:b/>
      <w:sz w:val="22"/>
    </w:rPr>
  </w:style>
  <w:style w:type="character" w:styleId="ListLabel1607" w:customStyle="1">
    <w:name w:val="ListLabel 1607"/>
    <w:qFormat/>
    <w:rPr>
      <w:rFonts w:eastAsia="Wingdings"/>
    </w:rPr>
  </w:style>
  <w:style w:type="character" w:styleId="ListLabel1606" w:customStyle="1">
    <w:name w:val="ListLabel 1606"/>
    <w:qFormat/>
    <w:rPr>
      <w:rFonts w:eastAsia="Courier New"/>
    </w:rPr>
  </w:style>
  <w:style w:type="character" w:styleId="ListLabel1605" w:customStyle="1">
    <w:name w:val="ListLabel 1605"/>
    <w:qFormat/>
    <w:rPr>
      <w:rFonts w:eastAsia="Symbol"/>
    </w:rPr>
  </w:style>
  <w:style w:type="character" w:styleId="ListLabel1604" w:customStyle="1">
    <w:name w:val="ListLabel 1604"/>
    <w:qFormat/>
    <w:rPr>
      <w:rFonts w:eastAsia="Wingdings"/>
    </w:rPr>
  </w:style>
  <w:style w:type="character" w:styleId="ListLabel1603" w:customStyle="1">
    <w:name w:val="ListLabel 1603"/>
    <w:qFormat/>
    <w:rPr>
      <w:rFonts w:eastAsia="Courier New"/>
    </w:rPr>
  </w:style>
  <w:style w:type="character" w:styleId="ListLabel1602" w:customStyle="1">
    <w:name w:val="ListLabel 1602"/>
    <w:qFormat/>
    <w:rPr>
      <w:rFonts w:eastAsia="Symbol"/>
    </w:rPr>
  </w:style>
  <w:style w:type="character" w:styleId="ListLabel1601" w:customStyle="1">
    <w:name w:val="ListLabel 1601"/>
    <w:qFormat/>
    <w:rPr>
      <w:rFonts w:eastAsia="Wingdings"/>
    </w:rPr>
  </w:style>
  <w:style w:type="character" w:styleId="ListLabel1600" w:customStyle="1">
    <w:name w:val="ListLabel 1600"/>
    <w:qFormat/>
    <w:rPr>
      <w:rFonts w:eastAsia="Courier New"/>
    </w:rPr>
  </w:style>
  <w:style w:type="character" w:styleId="ListLabel1599" w:customStyle="1">
    <w:name w:val="ListLabel 1599"/>
    <w:qFormat/>
    <w:rPr>
      <w:rFonts w:eastAsia="Wingdings"/>
    </w:rPr>
  </w:style>
  <w:style w:type="character" w:styleId="ListLabel1598" w:customStyle="1">
    <w:name w:val="ListLabel 1598"/>
    <w:qFormat/>
    <w:rPr>
      <w:rFonts w:eastAsia="Calibri"/>
      <w:b w:val="false"/>
      <w:i/>
      <w:sz w:val="22"/>
    </w:rPr>
  </w:style>
  <w:style w:type="character" w:styleId="ListLabel1597" w:customStyle="1">
    <w:name w:val="ListLabel 1597"/>
    <w:qFormat/>
    <w:rPr>
      <w:rFonts w:eastAsia="Wingdings"/>
    </w:rPr>
  </w:style>
  <w:style w:type="character" w:styleId="ListLabel1596" w:customStyle="1">
    <w:name w:val="ListLabel 1596"/>
    <w:qFormat/>
    <w:rPr>
      <w:rFonts w:eastAsia="Courier New"/>
    </w:rPr>
  </w:style>
  <w:style w:type="character" w:styleId="ListLabel1595" w:customStyle="1">
    <w:name w:val="ListLabel 1595"/>
    <w:qFormat/>
    <w:rPr>
      <w:rFonts w:eastAsia="Symbol"/>
    </w:rPr>
  </w:style>
  <w:style w:type="character" w:styleId="ListLabel1594" w:customStyle="1">
    <w:name w:val="ListLabel 1594"/>
    <w:qFormat/>
    <w:rPr>
      <w:rFonts w:eastAsia="Wingdings"/>
    </w:rPr>
  </w:style>
  <w:style w:type="character" w:styleId="ListLabel1593" w:customStyle="1">
    <w:name w:val="ListLabel 1593"/>
    <w:qFormat/>
    <w:rPr>
      <w:rFonts w:eastAsia="Courier New"/>
    </w:rPr>
  </w:style>
  <w:style w:type="character" w:styleId="ListLabel1592" w:customStyle="1">
    <w:name w:val="ListLabel 1592"/>
    <w:qFormat/>
    <w:rPr>
      <w:rFonts w:eastAsia="Symbol"/>
    </w:rPr>
  </w:style>
  <w:style w:type="character" w:styleId="ListLabel1591" w:customStyle="1">
    <w:name w:val="ListLabel 1591"/>
    <w:qFormat/>
    <w:rPr>
      <w:rFonts w:eastAsia="Wingdings"/>
    </w:rPr>
  </w:style>
  <w:style w:type="character" w:styleId="ListLabel1590" w:customStyle="1">
    <w:name w:val="ListLabel 1590"/>
    <w:qFormat/>
    <w:rPr>
      <w:rFonts w:eastAsia="Courier New"/>
    </w:rPr>
  </w:style>
  <w:style w:type="character" w:styleId="ListLabel1589" w:customStyle="1">
    <w:name w:val="ListLabel 1589"/>
    <w:qFormat/>
    <w:rPr>
      <w:rFonts w:eastAsia="Symbol"/>
    </w:rPr>
  </w:style>
  <w:style w:type="character" w:styleId="ListLabel1588" w:customStyle="1">
    <w:name w:val="ListLabel 1588"/>
    <w:qFormat/>
    <w:rPr>
      <w:rFonts w:eastAsia="Symbol"/>
      <w:b/>
      <w:lang w:eastAsia="el-GR"/>
    </w:rPr>
  </w:style>
  <w:style w:type="character" w:styleId="ListLabel1587" w:customStyle="1">
    <w:name w:val="ListLabel 1587"/>
    <w:qFormat/>
    <w:rPr>
      <w:rFonts w:eastAsia="Wingdings"/>
    </w:rPr>
  </w:style>
  <w:style w:type="character" w:styleId="ListLabel1586" w:customStyle="1">
    <w:name w:val="ListLabel 1586"/>
    <w:qFormat/>
    <w:rPr>
      <w:rFonts w:eastAsia="Courier New"/>
    </w:rPr>
  </w:style>
  <w:style w:type="character" w:styleId="ListLabel1585" w:customStyle="1">
    <w:name w:val="ListLabel 1585"/>
    <w:qFormat/>
    <w:rPr>
      <w:rFonts w:eastAsia="Symbol"/>
    </w:rPr>
  </w:style>
  <w:style w:type="character" w:styleId="ListLabel1584" w:customStyle="1">
    <w:name w:val="ListLabel 1584"/>
    <w:qFormat/>
    <w:rPr>
      <w:rFonts w:eastAsia="Wingdings"/>
    </w:rPr>
  </w:style>
  <w:style w:type="character" w:styleId="ListLabel1583" w:customStyle="1">
    <w:name w:val="ListLabel 1583"/>
    <w:qFormat/>
    <w:rPr>
      <w:rFonts w:eastAsia="Courier New"/>
    </w:rPr>
  </w:style>
  <w:style w:type="character" w:styleId="ListLabel1582" w:customStyle="1">
    <w:name w:val="ListLabel 1582"/>
    <w:qFormat/>
    <w:rPr>
      <w:rFonts w:eastAsia="Symbol"/>
    </w:rPr>
  </w:style>
  <w:style w:type="character" w:styleId="ListLabel1581" w:customStyle="1">
    <w:name w:val="ListLabel 1581"/>
    <w:qFormat/>
    <w:rPr>
      <w:rFonts w:eastAsia="Wingdings"/>
    </w:rPr>
  </w:style>
  <w:style w:type="character" w:styleId="ListLabel1580" w:customStyle="1">
    <w:name w:val="ListLabel 1580"/>
    <w:qFormat/>
    <w:rPr>
      <w:rFonts w:eastAsia="Courier New"/>
    </w:rPr>
  </w:style>
  <w:style w:type="character" w:styleId="ListLabel1579" w:customStyle="1">
    <w:name w:val="ListLabel 1579"/>
    <w:qFormat/>
    <w:rPr>
      <w:rFonts w:eastAsia="Symbol"/>
    </w:rPr>
  </w:style>
  <w:style w:type="character" w:styleId="ListLabel1578" w:customStyle="1">
    <w:name w:val="ListLabel 1578"/>
    <w:qFormat/>
    <w:rPr>
      <w:rFonts w:eastAsia="Times New Roman"/>
    </w:rPr>
  </w:style>
  <w:style w:type="character" w:styleId="ListLabel1577" w:customStyle="1">
    <w:name w:val="ListLabel 1577"/>
    <w:qFormat/>
    <w:rPr>
      <w:rFonts w:eastAsia="Times New Roman"/>
    </w:rPr>
  </w:style>
  <w:style w:type="character" w:styleId="ListLabel1576" w:customStyle="1">
    <w:name w:val="ListLabel 1576"/>
    <w:qFormat/>
    <w:rPr>
      <w:rFonts w:eastAsia="Times New Roman"/>
    </w:rPr>
  </w:style>
  <w:style w:type="character" w:styleId="ListLabel1575" w:customStyle="1">
    <w:name w:val="ListLabel 1575"/>
    <w:qFormat/>
    <w:rPr>
      <w:rFonts w:eastAsia="Times New Roman"/>
    </w:rPr>
  </w:style>
  <w:style w:type="character" w:styleId="ListLabel1574" w:customStyle="1">
    <w:name w:val="ListLabel 1574"/>
    <w:qFormat/>
    <w:rPr>
      <w:rFonts w:eastAsia="Times New Roman"/>
    </w:rPr>
  </w:style>
  <w:style w:type="character" w:styleId="ListLabel1573" w:customStyle="1">
    <w:name w:val="ListLabel 1573"/>
    <w:qFormat/>
    <w:rPr>
      <w:rFonts w:eastAsia="Times New Roman"/>
    </w:rPr>
  </w:style>
  <w:style w:type="character" w:styleId="ListLabel1572" w:customStyle="1">
    <w:name w:val="ListLabel 1572"/>
    <w:qFormat/>
    <w:rPr>
      <w:rFonts w:eastAsia="Times New Roman"/>
    </w:rPr>
  </w:style>
  <w:style w:type="character" w:styleId="ListLabel1571" w:customStyle="1">
    <w:name w:val="ListLabel 1571"/>
    <w:qFormat/>
    <w:rPr>
      <w:rFonts w:eastAsia="Times New Roman"/>
    </w:rPr>
  </w:style>
  <w:style w:type="character" w:styleId="ListLabel1570" w:customStyle="1">
    <w:name w:val="ListLabel 1570"/>
    <w:qFormat/>
    <w:rPr>
      <w:rFonts w:ascii="Calibri" w:hAnsi="Calibri" w:eastAsia="Times New Roman"/>
    </w:rPr>
  </w:style>
  <w:style w:type="character" w:styleId="ListLabel1569" w:customStyle="1">
    <w:name w:val="ListLabel 1569"/>
    <w:qFormat/>
    <w:rPr>
      <w:rFonts w:eastAsia="Wingdings"/>
    </w:rPr>
  </w:style>
  <w:style w:type="character" w:styleId="ListLabel1568" w:customStyle="1">
    <w:name w:val="ListLabel 1568"/>
    <w:qFormat/>
    <w:rPr>
      <w:rFonts w:eastAsia="Courier New"/>
    </w:rPr>
  </w:style>
  <w:style w:type="character" w:styleId="ListLabel1567" w:customStyle="1">
    <w:name w:val="ListLabel 1567"/>
    <w:qFormat/>
    <w:rPr>
      <w:rFonts w:eastAsia="Symbol"/>
    </w:rPr>
  </w:style>
  <w:style w:type="character" w:styleId="ListLabel1566" w:customStyle="1">
    <w:name w:val="ListLabel 1566"/>
    <w:qFormat/>
    <w:rPr>
      <w:rFonts w:eastAsia="Wingdings"/>
    </w:rPr>
  </w:style>
  <w:style w:type="character" w:styleId="ListLabel1565" w:customStyle="1">
    <w:name w:val="ListLabel 1565"/>
    <w:qFormat/>
    <w:rPr>
      <w:rFonts w:eastAsia="Courier New"/>
    </w:rPr>
  </w:style>
  <w:style w:type="character" w:styleId="ListLabel1564" w:customStyle="1">
    <w:name w:val="ListLabel 1564"/>
    <w:qFormat/>
    <w:rPr>
      <w:rFonts w:eastAsia="Symbol"/>
    </w:rPr>
  </w:style>
  <w:style w:type="character" w:styleId="ListLabel1563" w:customStyle="1">
    <w:name w:val="ListLabel 1563"/>
    <w:qFormat/>
    <w:rPr>
      <w:rFonts w:eastAsia="Wingdings"/>
    </w:rPr>
  </w:style>
  <w:style w:type="character" w:styleId="ListLabel1562" w:customStyle="1">
    <w:name w:val="ListLabel 1562"/>
    <w:qFormat/>
    <w:rPr>
      <w:rFonts w:eastAsia="Courier New"/>
    </w:rPr>
  </w:style>
  <w:style w:type="character" w:styleId="ListLabel1561" w:customStyle="1">
    <w:name w:val="ListLabel 1561"/>
    <w:qFormat/>
    <w:rPr>
      <w:rFonts w:eastAsia="Wingdings"/>
      <w:color w:val="auto"/>
    </w:rPr>
  </w:style>
  <w:style w:type="character" w:styleId="ListLabel1560" w:customStyle="1">
    <w:name w:val="ListLabel 1560"/>
    <w:qFormat/>
    <w:rPr>
      <w:rFonts w:eastAsia="Times New Roman"/>
    </w:rPr>
  </w:style>
  <w:style w:type="character" w:styleId="ListLabel1559" w:customStyle="1">
    <w:name w:val="ListLabel 1559"/>
    <w:qFormat/>
    <w:rPr>
      <w:rFonts w:eastAsia="Times New Roman"/>
    </w:rPr>
  </w:style>
  <w:style w:type="character" w:styleId="ListLabel1558" w:customStyle="1">
    <w:name w:val="ListLabel 1558"/>
    <w:qFormat/>
    <w:rPr>
      <w:rFonts w:eastAsia="Times New Roman"/>
    </w:rPr>
  </w:style>
  <w:style w:type="character" w:styleId="ListLabel1557" w:customStyle="1">
    <w:name w:val="ListLabel 1557"/>
    <w:qFormat/>
    <w:rPr>
      <w:rFonts w:eastAsia="Times New Roman"/>
    </w:rPr>
  </w:style>
  <w:style w:type="character" w:styleId="ListLabel1556" w:customStyle="1">
    <w:name w:val="ListLabel 1556"/>
    <w:qFormat/>
    <w:rPr>
      <w:rFonts w:eastAsia="Times New Roman"/>
    </w:rPr>
  </w:style>
  <w:style w:type="character" w:styleId="ListLabel1555" w:customStyle="1">
    <w:name w:val="ListLabel 1555"/>
    <w:qFormat/>
    <w:rPr>
      <w:rFonts w:eastAsia="Times New Roman"/>
    </w:rPr>
  </w:style>
  <w:style w:type="character" w:styleId="ListLabel1554" w:customStyle="1">
    <w:name w:val="ListLabel 1554"/>
    <w:qFormat/>
    <w:rPr>
      <w:rFonts w:eastAsia="Times New Roman"/>
    </w:rPr>
  </w:style>
  <w:style w:type="character" w:styleId="ListLabel1553" w:customStyle="1">
    <w:name w:val="ListLabel 1553"/>
    <w:qFormat/>
    <w:rPr>
      <w:rFonts w:eastAsia="Times New Roman"/>
    </w:rPr>
  </w:style>
  <w:style w:type="character" w:styleId="ListLabel1552" w:customStyle="1">
    <w:name w:val="ListLabel 1552"/>
    <w:qFormat/>
    <w:rPr>
      <w:rFonts w:eastAsia="Times New Roman"/>
      <w:sz w:val="16"/>
    </w:rPr>
  </w:style>
  <w:style w:type="character" w:styleId="ListLabel1551" w:customStyle="1">
    <w:name w:val="ListLabel 1551"/>
    <w:qFormat/>
    <w:rPr>
      <w:rFonts w:eastAsia="Times New Roman"/>
      <w:sz w:val="22"/>
    </w:rPr>
  </w:style>
  <w:style w:type="character" w:styleId="ListLabel1550" w:customStyle="1">
    <w:name w:val="ListLabel 1550"/>
    <w:qFormat/>
    <w:rPr>
      <w:rFonts w:eastAsia="Tahoma"/>
      <w:sz w:val="22"/>
      <w:lang w:eastAsia="el-GR"/>
    </w:rPr>
  </w:style>
  <w:style w:type="character" w:styleId="ListLabel1549" w:customStyle="1">
    <w:name w:val="ListLabel 1549"/>
    <w:qFormat/>
    <w:rPr>
      <w:rFonts w:eastAsia="Tahoma"/>
      <w:sz w:val="22"/>
      <w:lang w:eastAsia="en-US"/>
    </w:rPr>
  </w:style>
  <w:style w:type="character" w:styleId="ListLabel1548" w:customStyle="1">
    <w:name w:val="ListLabel 1548"/>
    <w:qFormat/>
    <w:rPr>
      <w:rFonts w:eastAsia="Calibri"/>
    </w:rPr>
  </w:style>
  <w:style w:type="character" w:styleId="ListLabel1547" w:customStyle="1">
    <w:name w:val="ListLabel 1547"/>
    <w:qFormat/>
    <w:rPr>
      <w:rFonts w:ascii="Calibri" w:hAnsi="Calibri" w:eastAsia="Calibri"/>
      <w:sz w:val="22"/>
    </w:rPr>
  </w:style>
  <w:style w:type="character" w:styleId="ListLabel1546" w:customStyle="1">
    <w:name w:val="ListLabel 1546"/>
    <w:qFormat/>
    <w:rPr>
      <w:rFonts w:eastAsia="Tahoma"/>
      <w:color w:val="auto"/>
      <w:sz w:val="22"/>
      <w:lang w:eastAsia="el-GR"/>
    </w:rPr>
  </w:style>
  <w:style w:type="character" w:styleId="ListLabel1545" w:customStyle="1">
    <w:name w:val="ListLabel 1545"/>
    <w:qFormat/>
    <w:rPr>
      <w:rFonts w:eastAsia="Tahoma"/>
      <w:i/>
      <w:color w:val="auto"/>
      <w:sz w:val="22"/>
    </w:rPr>
  </w:style>
  <w:style w:type="character" w:styleId="ListLabel1544" w:customStyle="1">
    <w:name w:val="ListLabel 1544"/>
    <w:qFormat/>
    <w:rPr>
      <w:rFonts w:eastAsia="Calibri"/>
      <w:b/>
      <w:sz w:val="22"/>
      <w:lang w:eastAsia="el-GR"/>
    </w:rPr>
  </w:style>
  <w:style w:type="character" w:styleId="ListLabel1543" w:customStyle="1">
    <w:name w:val="ListLabel 1543"/>
    <w:qFormat/>
    <w:rPr>
      <w:rFonts w:eastAsia="Calibri"/>
      <w:b/>
      <w:sz w:val="22"/>
      <w:lang w:eastAsia="en-US"/>
    </w:rPr>
  </w:style>
  <w:style w:type="character" w:styleId="ListLabel1542" w:customStyle="1">
    <w:name w:val="ListLabel 1542"/>
    <w:qFormat/>
    <w:rPr>
      <w:rFonts w:eastAsia="Calibri"/>
      <w:lang w:eastAsia="el-GR"/>
    </w:rPr>
  </w:style>
  <w:style w:type="character" w:styleId="ListLabel1541" w:customStyle="1">
    <w:name w:val="ListLabel 1541"/>
    <w:qFormat/>
    <w:rPr>
      <w:rFonts w:eastAsia="Calibri"/>
    </w:rPr>
  </w:style>
  <w:style w:type="character" w:styleId="ListLabel1540" w:customStyle="1">
    <w:name w:val="ListLabel 1540"/>
    <w:qFormat/>
    <w:rPr>
      <w:rFonts w:eastAsia="Calibri"/>
      <w:b/>
      <w:color w:val="0000FF"/>
      <w:sz w:val="22"/>
      <w:u w:val="single"/>
      <w:lang w:eastAsia="el-GR"/>
    </w:rPr>
  </w:style>
  <w:style w:type="character" w:styleId="ListLabel1539" w:customStyle="1">
    <w:name w:val="ListLabel 1539"/>
    <w:qFormat/>
    <w:rPr>
      <w:rFonts w:eastAsia="Calibri"/>
      <w:b/>
      <w:sz w:val="22"/>
      <w:lang w:eastAsia="en-US"/>
    </w:rPr>
  </w:style>
  <w:style w:type="character" w:styleId="ListLabel1538" w:customStyle="1">
    <w:name w:val="ListLabel 1538"/>
    <w:qFormat/>
    <w:rPr>
      <w:rFonts w:eastAsia="Calibri"/>
      <w:b/>
      <w:sz w:val="22"/>
    </w:rPr>
  </w:style>
  <w:style w:type="character" w:styleId="ListLabel1537" w:customStyle="1">
    <w:name w:val="ListLabel 1537"/>
    <w:qFormat/>
    <w:rPr>
      <w:rFonts w:eastAsia="Calibri"/>
      <w:b/>
      <w:sz w:val="22"/>
      <w:lang w:eastAsia="el-GR"/>
    </w:rPr>
  </w:style>
  <w:style w:type="character" w:styleId="ListLabel1536" w:customStyle="1">
    <w:name w:val="ListLabel 1536"/>
    <w:qFormat/>
    <w:rPr>
      <w:rFonts w:eastAsia="Calibri"/>
      <w:b/>
      <w:sz w:val="22"/>
      <w:lang w:eastAsia="el-GR"/>
    </w:rPr>
  </w:style>
  <w:style w:type="character" w:styleId="ListLabel1535" w:customStyle="1">
    <w:name w:val="ListLabel 1535"/>
    <w:qFormat/>
    <w:rPr>
      <w:rFonts w:eastAsia="Calibri"/>
      <w:b/>
      <w:sz w:val="22"/>
      <w:lang w:eastAsia="el-GR"/>
    </w:rPr>
  </w:style>
  <w:style w:type="character" w:styleId="ListLabel1534" w:customStyle="1">
    <w:name w:val="ListLabel 1534"/>
    <w:qFormat/>
    <w:rPr>
      <w:rFonts w:eastAsia="Calibri"/>
      <w:b/>
      <w:sz w:val="22"/>
      <w:lang w:eastAsia="el-GR"/>
    </w:rPr>
  </w:style>
  <w:style w:type="character" w:styleId="ListLabel1533" w:customStyle="1">
    <w:name w:val="ListLabel 1533"/>
    <w:qFormat/>
    <w:rPr>
      <w:rFonts w:eastAsia="Calibri"/>
      <w:color w:val="0000FF"/>
      <w:sz w:val="22"/>
      <w:u w:val="single"/>
      <w:lang w:eastAsia="el-GR"/>
    </w:rPr>
  </w:style>
  <w:style w:type="character" w:styleId="ListLabel1532" w:customStyle="1">
    <w:name w:val="ListLabel 1532"/>
    <w:qFormat/>
    <w:rPr>
      <w:rFonts w:eastAsia="Calibri"/>
      <w:sz w:val="22"/>
    </w:rPr>
  </w:style>
  <w:style w:type="character" w:styleId="ListLabel1531" w:customStyle="1">
    <w:name w:val="ListLabel 1531"/>
    <w:qFormat/>
    <w:rPr>
      <w:rFonts w:eastAsia="Calibri"/>
      <w:sz w:val="22"/>
      <w:lang w:eastAsia="en-US"/>
    </w:rPr>
  </w:style>
  <w:style w:type="character" w:styleId="ListLabel1530" w:customStyle="1">
    <w:name w:val="ListLabel 1530"/>
    <w:qFormat/>
    <w:rPr>
      <w:rFonts w:eastAsia="Symbol"/>
    </w:rPr>
  </w:style>
  <w:style w:type="character" w:styleId="ListLabel1529" w:customStyle="1">
    <w:name w:val="ListLabel 1529"/>
    <w:qFormat/>
    <w:rPr>
      <w:rFonts w:eastAsia="Symbol"/>
    </w:rPr>
  </w:style>
  <w:style w:type="character" w:styleId="ListLabel1528" w:customStyle="1">
    <w:name w:val="ListLabel 1528"/>
    <w:qFormat/>
    <w:rPr>
      <w:rFonts w:eastAsia="Symbol"/>
    </w:rPr>
  </w:style>
  <w:style w:type="character" w:styleId="ListLabel1527" w:customStyle="1">
    <w:name w:val="ListLabel 1527"/>
    <w:qFormat/>
    <w:rPr>
      <w:rFonts w:eastAsia="Symbol"/>
    </w:rPr>
  </w:style>
  <w:style w:type="character" w:styleId="ListLabel1526" w:customStyle="1">
    <w:name w:val="ListLabel 1526"/>
    <w:qFormat/>
    <w:rPr>
      <w:rFonts w:eastAsia="Symbol"/>
    </w:rPr>
  </w:style>
  <w:style w:type="character" w:styleId="ListLabel1525" w:customStyle="1">
    <w:name w:val="ListLabel 1525"/>
    <w:qFormat/>
    <w:rPr>
      <w:rFonts w:eastAsia="Symbol"/>
    </w:rPr>
  </w:style>
  <w:style w:type="character" w:styleId="ListLabel1524" w:customStyle="1">
    <w:name w:val="ListLabel 1524"/>
    <w:qFormat/>
    <w:rPr>
      <w:rFonts w:eastAsia="Symbol"/>
    </w:rPr>
  </w:style>
  <w:style w:type="character" w:styleId="ListLabel1523" w:customStyle="1">
    <w:name w:val="ListLabel 1523"/>
    <w:qFormat/>
    <w:rPr>
      <w:rFonts w:eastAsia="Symbol"/>
    </w:rPr>
  </w:style>
  <w:style w:type="character" w:styleId="ListLabel1522" w:customStyle="1">
    <w:name w:val="ListLabel 1522"/>
    <w:qFormat/>
    <w:rPr>
      <w:rFonts w:eastAsia="Symbol"/>
    </w:rPr>
  </w:style>
  <w:style w:type="character" w:styleId="ListLabel1521" w:customStyle="1">
    <w:name w:val="ListLabel 1521"/>
    <w:qFormat/>
    <w:rPr>
      <w:rFonts w:eastAsia="Wingdings"/>
    </w:rPr>
  </w:style>
  <w:style w:type="character" w:styleId="ListLabel1520" w:customStyle="1">
    <w:name w:val="ListLabel 1520"/>
    <w:qFormat/>
    <w:rPr>
      <w:rFonts w:eastAsia="Courier New"/>
    </w:rPr>
  </w:style>
  <w:style w:type="character" w:styleId="ListLabel1519" w:customStyle="1">
    <w:name w:val="ListLabel 1519"/>
    <w:qFormat/>
    <w:rPr>
      <w:rFonts w:eastAsia="Symbol"/>
    </w:rPr>
  </w:style>
  <w:style w:type="character" w:styleId="ListLabel1518" w:customStyle="1">
    <w:name w:val="ListLabel 1518"/>
    <w:qFormat/>
    <w:rPr>
      <w:rFonts w:eastAsia="Wingdings"/>
    </w:rPr>
  </w:style>
  <w:style w:type="character" w:styleId="ListLabel1517" w:customStyle="1">
    <w:name w:val="ListLabel 1517"/>
    <w:qFormat/>
    <w:rPr>
      <w:rFonts w:eastAsia="Courier New"/>
    </w:rPr>
  </w:style>
  <w:style w:type="character" w:styleId="ListLabel1516" w:customStyle="1">
    <w:name w:val="ListLabel 1516"/>
    <w:qFormat/>
    <w:rPr>
      <w:rFonts w:eastAsia="Symbol"/>
    </w:rPr>
  </w:style>
  <w:style w:type="character" w:styleId="ListLabel1515" w:customStyle="1">
    <w:name w:val="ListLabel 1515"/>
    <w:qFormat/>
    <w:rPr>
      <w:rFonts w:eastAsia="Wingdings"/>
    </w:rPr>
  </w:style>
  <w:style w:type="character" w:styleId="ListLabel1514" w:customStyle="1">
    <w:name w:val="ListLabel 1514"/>
    <w:qFormat/>
    <w:rPr>
      <w:rFonts w:eastAsia="Courier New"/>
    </w:rPr>
  </w:style>
  <w:style w:type="character" w:styleId="ListLabel1513" w:customStyle="1">
    <w:name w:val="ListLabel 1513"/>
    <w:qFormat/>
    <w:rPr>
      <w:rFonts w:ascii="Calibri" w:hAnsi="Calibri" w:eastAsia="Wingdings"/>
      <w:b/>
      <w:sz w:val="22"/>
    </w:rPr>
  </w:style>
  <w:style w:type="character" w:styleId="ListLabel1512" w:customStyle="1">
    <w:name w:val="ListLabel 1512"/>
    <w:qFormat/>
    <w:rPr>
      <w:rFonts w:eastAsia="Wingdings"/>
    </w:rPr>
  </w:style>
  <w:style w:type="character" w:styleId="ListLabel1511" w:customStyle="1">
    <w:name w:val="ListLabel 1511"/>
    <w:qFormat/>
    <w:rPr>
      <w:rFonts w:eastAsia="Courier New"/>
    </w:rPr>
  </w:style>
  <w:style w:type="character" w:styleId="ListLabel1510" w:customStyle="1">
    <w:name w:val="ListLabel 1510"/>
    <w:qFormat/>
    <w:rPr>
      <w:rFonts w:eastAsia="Symbol"/>
    </w:rPr>
  </w:style>
  <w:style w:type="character" w:styleId="ListLabel1509" w:customStyle="1">
    <w:name w:val="ListLabel 1509"/>
    <w:qFormat/>
    <w:rPr>
      <w:rFonts w:eastAsia="Wingdings"/>
    </w:rPr>
  </w:style>
  <w:style w:type="character" w:styleId="ListLabel1508" w:customStyle="1">
    <w:name w:val="ListLabel 1508"/>
    <w:qFormat/>
    <w:rPr>
      <w:rFonts w:eastAsia="Courier New"/>
    </w:rPr>
  </w:style>
  <w:style w:type="character" w:styleId="ListLabel1507" w:customStyle="1">
    <w:name w:val="ListLabel 1507"/>
    <w:qFormat/>
    <w:rPr>
      <w:rFonts w:eastAsia="Symbol"/>
    </w:rPr>
  </w:style>
  <w:style w:type="character" w:styleId="ListLabel1506" w:customStyle="1">
    <w:name w:val="ListLabel 1506"/>
    <w:qFormat/>
    <w:rPr>
      <w:rFonts w:eastAsia="Wingdings"/>
    </w:rPr>
  </w:style>
  <w:style w:type="character" w:styleId="ListLabel1505" w:customStyle="1">
    <w:name w:val="ListLabel 1505"/>
    <w:qFormat/>
    <w:rPr>
      <w:rFonts w:eastAsia="Courier New"/>
    </w:rPr>
  </w:style>
  <w:style w:type="character" w:styleId="ListLabel1504" w:customStyle="1">
    <w:name w:val="ListLabel 1504"/>
    <w:qFormat/>
    <w:rPr>
      <w:rFonts w:eastAsia="Wingdings"/>
    </w:rPr>
  </w:style>
  <w:style w:type="character" w:styleId="ListLabel1503" w:customStyle="1">
    <w:name w:val="ListLabel 1503"/>
    <w:qFormat/>
    <w:rPr>
      <w:rFonts w:eastAsia="Calibri"/>
      <w:b w:val="false"/>
      <w:i/>
      <w:sz w:val="22"/>
    </w:rPr>
  </w:style>
  <w:style w:type="character" w:styleId="ListLabel1502" w:customStyle="1">
    <w:name w:val="ListLabel 1502"/>
    <w:qFormat/>
    <w:rPr>
      <w:rFonts w:eastAsia="Wingdings"/>
    </w:rPr>
  </w:style>
  <w:style w:type="character" w:styleId="ListLabel1501" w:customStyle="1">
    <w:name w:val="ListLabel 1501"/>
    <w:qFormat/>
    <w:rPr>
      <w:rFonts w:eastAsia="Courier New"/>
    </w:rPr>
  </w:style>
  <w:style w:type="character" w:styleId="ListLabel1500" w:customStyle="1">
    <w:name w:val="ListLabel 1500"/>
    <w:qFormat/>
    <w:rPr>
      <w:rFonts w:eastAsia="Symbol"/>
    </w:rPr>
  </w:style>
  <w:style w:type="character" w:styleId="ListLabel1499" w:customStyle="1">
    <w:name w:val="ListLabel 1499"/>
    <w:qFormat/>
    <w:rPr>
      <w:rFonts w:eastAsia="Wingdings"/>
    </w:rPr>
  </w:style>
  <w:style w:type="character" w:styleId="ListLabel1498" w:customStyle="1">
    <w:name w:val="ListLabel 1498"/>
    <w:qFormat/>
    <w:rPr>
      <w:rFonts w:eastAsia="Courier New"/>
    </w:rPr>
  </w:style>
  <w:style w:type="character" w:styleId="ListLabel1497" w:customStyle="1">
    <w:name w:val="ListLabel 1497"/>
    <w:qFormat/>
    <w:rPr>
      <w:rFonts w:eastAsia="Symbol"/>
    </w:rPr>
  </w:style>
  <w:style w:type="character" w:styleId="ListLabel1496" w:customStyle="1">
    <w:name w:val="ListLabel 1496"/>
    <w:qFormat/>
    <w:rPr>
      <w:rFonts w:eastAsia="Wingdings"/>
    </w:rPr>
  </w:style>
  <w:style w:type="character" w:styleId="ListLabel1495" w:customStyle="1">
    <w:name w:val="ListLabel 1495"/>
    <w:qFormat/>
    <w:rPr>
      <w:rFonts w:eastAsia="Courier New"/>
    </w:rPr>
  </w:style>
  <w:style w:type="character" w:styleId="ListLabel1494" w:customStyle="1">
    <w:name w:val="ListLabel 1494"/>
    <w:qFormat/>
    <w:rPr>
      <w:rFonts w:eastAsia="Symbol"/>
    </w:rPr>
  </w:style>
  <w:style w:type="character" w:styleId="ListLabel1493" w:customStyle="1">
    <w:name w:val="ListLabel 1493"/>
    <w:qFormat/>
    <w:rPr>
      <w:rFonts w:eastAsia="Symbol"/>
      <w:b/>
      <w:lang w:eastAsia="el-GR"/>
    </w:rPr>
  </w:style>
  <w:style w:type="character" w:styleId="ListLabel1492" w:customStyle="1">
    <w:name w:val="ListLabel 1492"/>
    <w:qFormat/>
    <w:rPr>
      <w:rFonts w:eastAsia="Wingdings"/>
    </w:rPr>
  </w:style>
  <w:style w:type="character" w:styleId="ListLabel1491" w:customStyle="1">
    <w:name w:val="ListLabel 1491"/>
    <w:qFormat/>
    <w:rPr>
      <w:rFonts w:eastAsia="Courier New"/>
    </w:rPr>
  </w:style>
  <w:style w:type="character" w:styleId="ListLabel1490" w:customStyle="1">
    <w:name w:val="ListLabel 1490"/>
    <w:qFormat/>
    <w:rPr>
      <w:rFonts w:eastAsia="Symbol"/>
    </w:rPr>
  </w:style>
  <w:style w:type="character" w:styleId="ListLabel1489" w:customStyle="1">
    <w:name w:val="ListLabel 1489"/>
    <w:qFormat/>
    <w:rPr>
      <w:rFonts w:eastAsia="Wingdings"/>
    </w:rPr>
  </w:style>
  <w:style w:type="character" w:styleId="ListLabel1488" w:customStyle="1">
    <w:name w:val="ListLabel 1488"/>
    <w:qFormat/>
    <w:rPr>
      <w:rFonts w:eastAsia="Courier New"/>
    </w:rPr>
  </w:style>
  <w:style w:type="character" w:styleId="ListLabel1487" w:customStyle="1">
    <w:name w:val="ListLabel 1487"/>
    <w:qFormat/>
    <w:rPr>
      <w:rFonts w:eastAsia="Symbol"/>
    </w:rPr>
  </w:style>
  <w:style w:type="character" w:styleId="ListLabel1486" w:customStyle="1">
    <w:name w:val="ListLabel 1486"/>
    <w:qFormat/>
    <w:rPr>
      <w:rFonts w:eastAsia="Wingdings"/>
    </w:rPr>
  </w:style>
  <w:style w:type="character" w:styleId="ListLabel1485" w:customStyle="1">
    <w:name w:val="ListLabel 1485"/>
    <w:qFormat/>
    <w:rPr>
      <w:rFonts w:eastAsia="Courier New"/>
    </w:rPr>
  </w:style>
  <w:style w:type="character" w:styleId="ListLabel1484" w:customStyle="1">
    <w:name w:val="ListLabel 1484"/>
    <w:qFormat/>
    <w:rPr>
      <w:rFonts w:eastAsia="Symbol"/>
    </w:rPr>
  </w:style>
  <w:style w:type="character" w:styleId="ListLabel1483" w:customStyle="1">
    <w:name w:val="ListLabel 1483"/>
    <w:qFormat/>
    <w:rPr>
      <w:rFonts w:eastAsia="Times New Roman"/>
    </w:rPr>
  </w:style>
  <w:style w:type="character" w:styleId="ListLabel1482" w:customStyle="1">
    <w:name w:val="ListLabel 1482"/>
    <w:qFormat/>
    <w:rPr>
      <w:rFonts w:eastAsia="Times New Roman"/>
    </w:rPr>
  </w:style>
  <w:style w:type="character" w:styleId="ListLabel1481" w:customStyle="1">
    <w:name w:val="ListLabel 1481"/>
    <w:qFormat/>
    <w:rPr>
      <w:rFonts w:eastAsia="Times New Roman"/>
    </w:rPr>
  </w:style>
  <w:style w:type="character" w:styleId="ListLabel1480" w:customStyle="1">
    <w:name w:val="ListLabel 1480"/>
    <w:qFormat/>
    <w:rPr>
      <w:rFonts w:eastAsia="Times New Roman"/>
    </w:rPr>
  </w:style>
  <w:style w:type="character" w:styleId="ListLabel1479" w:customStyle="1">
    <w:name w:val="ListLabel 1479"/>
    <w:qFormat/>
    <w:rPr>
      <w:rFonts w:eastAsia="Times New Roman"/>
    </w:rPr>
  </w:style>
  <w:style w:type="character" w:styleId="ListLabel1478" w:customStyle="1">
    <w:name w:val="ListLabel 1478"/>
    <w:qFormat/>
    <w:rPr>
      <w:rFonts w:eastAsia="Times New Roman"/>
    </w:rPr>
  </w:style>
  <w:style w:type="character" w:styleId="ListLabel1477" w:customStyle="1">
    <w:name w:val="ListLabel 1477"/>
    <w:qFormat/>
    <w:rPr>
      <w:rFonts w:eastAsia="Times New Roman"/>
    </w:rPr>
  </w:style>
  <w:style w:type="character" w:styleId="ListLabel1476" w:customStyle="1">
    <w:name w:val="ListLabel 1476"/>
    <w:qFormat/>
    <w:rPr>
      <w:rFonts w:eastAsia="Times New Roman"/>
    </w:rPr>
  </w:style>
  <w:style w:type="character" w:styleId="ListLabel1475" w:customStyle="1">
    <w:name w:val="ListLabel 1475"/>
    <w:qFormat/>
    <w:rPr>
      <w:rFonts w:ascii="Calibri" w:hAnsi="Calibri" w:eastAsia="Times New Roman"/>
    </w:rPr>
  </w:style>
  <w:style w:type="character" w:styleId="ListLabel1474" w:customStyle="1">
    <w:name w:val="ListLabel 1474"/>
    <w:qFormat/>
    <w:rPr>
      <w:rFonts w:eastAsia="Wingdings"/>
    </w:rPr>
  </w:style>
  <w:style w:type="character" w:styleId="ListLabel1473" w:customStyle="1">
    <w:name w:val="ListLabel 1473"/>
    <w:qFormat/>
    <w:rPr>
      <w:rFonts w:eastAsia="Courier New"/>
    </w:rPr>
  </w:style>
  <w:style w:type="character" w:styleId="ListLabel1472" w:customStyle="1">
    <w:name w:val="ListLabel 1472"/>
    <w:qFormat/>
    <w:rPr>
      <w:rFonts w:eastAsia="Symbol"/>
    </w:rPr>
  </w:style>
  <w:style w:type="character" w:styleId="ListLabel1471" w:customStyle="1">
    <w:name w:val="ListLabel 1471"/>
    <w:qFormat/>
    <w:rPr>
      <w:rFonts w:eastAsia="Wingdings"/>
    </w:rPr>
  </w:style>
  <w:style w:type="character" w:styleId="ListLabel1470" w:customStyle="1">
    <w:name w:val="ListLabel 1470"/>
    <w:qFormat/>
    <w:rPr>
      <w:rFonts w:eastAsia="Courier New"/>
    </w:rPr>
  </w:style>
  <w:style w:type="character" w:styleId="ListLabel1469" w:customStyle="1">
    <w:name w:val="ListLabel 1469"/>
    <w:qFormat/>
    <w:rPr>
      <w:rFonts w:eastAsia="Symbol"/>
    </w:rPr>
  </w:style>
  <w:style w:type="character" w:styleId="ListLabel1468" w:customStyle="1">
    <w:name w:val="ListLabel 1468"/>
    <w:qFormat/>
    <w:rPr>
      <w:rFonts w:eastAsia="Wingdings"/>
    </w:rPr>
  </w:style>
  <w:style w:type="character" w:styleId="ListLabel1467" w:customStyle="1">
    <w:name w:val="ListLabel 1467"/>
    <w:qFormat/>
    <w:rPr>
      <w:rFonts w:eastAsia="Courier New"/>
    </w:rPr>
  </w:style>
  <w:style w:type="character" w:styleId="ListLabel1466" w:customStyle="1">
    <w:name w:val="ListLabel 1466"/>
    <w:qFormat/>
    <w:rPr>
      <w:rFonts w:eastAsia="Wingdings"/>
      <w:color w:val="auto"/>
    </w:rPr>
  </w:style>
  <w:style w:type="character" w:styleId="ListLabel1465" w:customStyle="1">
    <w:name w:val="ListLabel 1465"/>
    <w:qFormat/>
    <w:rPr>
      <w:rFonts w:eastAsia="Times New Roman"/>
    </w:rPr>
  </w:style>
  <w:style w:type="character" w:styleId="ListLabel1464" w:customStyle="1">
    <w:name w:val="ListLabel 1464"/>
    <w:qFormat/>
    <w:rPr>
      <w:rFonts w:eastAsia="Times New Roman"/>
    </w:rPr>
  </w:style>
  <w:style w:type="character" w:styleId="ListLabel1463" w:customStyle="1">
    <w:name w:val="ListLabel 1463"/>
    <w:qFormat/>
    <w:rPr>
      <w:rFonts w:eastAsia="Times New Roman"/>
    </w:rPr>
  </w:style>
  <w:style w:type="character" w:styleId="ListLabel1462" w:customStyle="1">
    <w:name w:val="ListLabel 1462"/>
    <w:qFormat/>
    <w:rPr>
      <w:rFonts w:eastAsia="Times New Roman"/>
    </w:rPr>
  </w:style>
  <w:style w:type="character" w:styleId="ListLabel1461" w:customStyle="1">
    <w:name w:val="ListLabel 1461"/>
    <w:qFormat/>
    <w:rPr>
      <w:rFonts w:eastAsia="Times New Roman"/>
    </w:rPr>
  </w:style>
  <w:style w:type="character" w:styleId="ListLabel1460" w:customStyle="1">
    <w:name w:val="ListLabel 1460"/>
    <w:qFormat/>
    <w:rPr>
      <w:rFonts w:eastAsia="Times New Roman"/>
    </w:rPr>
  </w:style>
  <w:style w:type="character" w:styleId="ListLabel1459" w:customStyle="1">
    <w:name w:val="ListLabel 1459"/>
    <w:qFormat/>
    <w:rPr>
      <w:rFonts w:eastAsia="Times New Roman"/>
    </w:rPr>
  </w:style>
  <w:style w:type="character" w:styleId="ListLabel1458" w:customStyle="1">
    <w:name w:val="ListLabel 1458"/>
    <w:qFormat/>
    <w:rPr>
      <w:rFonts w:eastAsia="Times New Roman"/>
    </w:rPr>
  </w:style>
  <w:style w:type="character" w:styleId="ListLabel1457" w:customStyle="1">
    <w:name w:val="ListLabel 1457"/>
    <w:qFormat/>
    <w:rPr>
      <w:rFonts w:eastAsia="Times New Roman"/>
      <w:sz w:val="16"/>
    </w:rPr>
  </w:style>
  <w:style w:type="character" w:styleId="ListLabel1456" w:customStyle="1">
    <w:name w:val="ListLabel 1456"/>
    <w:qFormat/>
    <w:rPr>
      <w:rFonts w:eastAsia="Times New Roman"/>
      <w:sz w:val="22"/>
    </w:rPr>
  </w:style>
  <w:style w:type="character" w:styleId="ListLabel1455" w:customStyle="1">
    <w:name w:val="ListLabel 1455"/>
    <w:qFormat/>
    <w:rPr>
      <w:rFonts w:eastAsia="Tahoma"/>
      <w:sz w:val="22"/>
      <w:lang w:eastAsia="el-GR"/>
    </w:rPr>
  </w:style>
  <w:style w:type="character" w:styleId="ListLabel1454" w:customStyle="1">
    <w:name w:val="ListLabel 1454"/>
    <w:qFormat/>
    <w:rPr>
      <w:rFonts w:eastAsia="Tahoma"/>
      <w:sz w:val="22"/>
      <w:lang w:eastAsia="en-US"/>
    </w:rPr>
  </w:style>
  <w:style w:type="character" w:styleId="ListLabel1453" w:customStyle="1">
    <w:name w:val="ListLabel 1453"/>
    <w:qFormat/>
    <w:rPr>
      <w:rFonts w:eastAsia="Calibri"/>
    </w:rPr>
  </w:style>
  <w:style w:type="character" w:styleId="ListLabel1452" w:customStyle="1">
    <w:name w:val="ListLabel 1452"/>
    <w:qFormat/>
    <w:rPr>
      <w:rFonts w:ascii="Calibri" w:hAnsi="Calibri" w:eastAsia="Calibri"/>
      <w:sz w:val="22"/>
    </w:rPr>
  </w:style>
  <w:style w:type="character" w:styleId="ListLabel1451" w:customStyle="1">
    <w:name w:val="ListLabel 1451"/>
    <w:qFormat/>
    <w:rPr>
      <w:rFonts w:eastAsia="Tahoma"/>
      <w:color w:val="auto"/>
      <w:sz w:val="22"/>
      <w:lang w:eastAsia="el-GR"/>
    </w:rPr>
  </w:style>
  <w:style w:type="character" w:styleId="ListLabel1450" w:customStyle="1">
    <w:name w:val="ListLabel 1450"/>
    <w:qFormat/>
    <w:rPr>
      <w:rFonts w:eastAsia="Tahoma"/>
      <w:i/>
      <w:color w:val="auto"/>
      <w:sz w:val="22"/>
    </w:rPr>
  </w:style>
  <w:style w:type="character" w:styleId="ListLabel1449" w:customStyle="1">
    <w:name w:val="ListLabel 1449"/>
    <w:qFormat/>
    <w:rPr>
      <w:rFonts w:eastAsia="Calibri"/>
      <w:b/>
      <w:sz w:val="22"/>
      <w:lang w:eastAsia="el-GR"/>
    </w:rPr>
  </w:style>
  <w:style w:type="character" w:styleId="ListLabel1448" w:customStyle="1">
    <w:name w:val="ListLabel 1448"/>
    <w:qFormat/>
    <w:rPr>
      <w:rFonts w:eastAsia="Calibri"/>
      <w:b/>
      <w:sz w:val="22"/>
      <w:lang w:eastAsia="en-US"/>
    </w:rPr>
  </w:style>
  <w:style w:type="character" w:styleId="ListLabel1447" w:customStyle="1">
    <w:name w:val="ListLabel 1447"/>
    <w:qFormat/>
    <w:rPr>
      <w:rFonts w:eastAsia="Calibri"/>
      <w:lang w:eastAsia="el-GR"/>
    </w:rPr>
  </w:style>
  <w:style w:type="character" w:styleId="ListLabel1446" w:customStyle="1">
    <w:name w:val="ListLabel 1446"/>
    <w:qFormat/>
    <w:rPr>
      <w:rFonts w:eastAsia="Calibri"/>
    </w:rPr>
  </w:style>
  <w:style w:type="character" w:styleId="ListLabel1445" w:customStyle="1">
    <w:name w:val="ListLabel 1445"/>
    <w:qFormat/>
    <w:rPr>
      <w:rFonts w:eastAsia="Calibri"/>
      <w:b/>
      <w:color w:val="0000FF"/>
      <w:sz w:val="22"/>
      <w:u w:val="single"/>
      <w:lang w:eastAsia="el-GR"/>
    </w:rPr>
  </w:style>
  <w:style w:type="character" w:styleId="ListLabel1444" w:customStyle="1">
    <w:name w:val="ListLabel 1444"/>
    <w:qFormat/>
    <w:rPr>
      <w:rFonts w:eastAsia="Calibri"/>
      <w:b/>
      <w:sz w:val="22"/>
      <w:lang w:eastAsia="en-US"/>
    </w:rPr>
  </w:style>
  <w:style w:type="character" w:styleId="ListLabel1443" w:customStyle="1">
    <w:name w:val="ListLabel 1443"/>
    <w:qFormat/>
    <w:rPr>
      <w:rFonts w:eastAsia="Calibri"/>
      <w:b/>
      <w:sz w:val="22"/>
    </w:rPr>
  </w:style>
  <w:style w:type="character" w:styleId="ListLabel1442" w:customStyle="1">
    <w:name w:val="ListLabel 1442"/>
    <w:qFormat/>
    <w:rPr>
      <w:rFonts w:eastAsia="Calibri"/>
      <w:b/>
      <w:sz w:val="22"/>
      <w:lang w:eastAsia="el-GR"/>
    </w:rPr>
  </w:style>
  <w:style w:type="character" w:styleId="ListLabel1441" w:customStyle="1">
    <w:name w:val="ListLabel 1441"/>
    <w:qFormat/>
    <w:rPr>
      <w:rFonts w:eastAsia="Calibri"/>
      <w:b/>
      <w:sz w:val="22"/>
      <w:lang w:eastAsia="el-GR"/>
    </w:rPr>
  </w:style>
  <w:style w:type="character" w:styleId="ListLabel1440" w:customStyle="1">
    <w:name w:val="ListLabel 1440"/>
    <w:qFormat/>
    <w:rPr>
      <w:rFonts w:eastAsia="Calibri"/>
      <w:b/>
      <w:sz w:val="22"/>
      <w:lang w:eastAsia="el-GR"/>
    </w:rPr>
  </w:style>
  <w:style w:type="character" w:styleId="ListLabel1439" w:customStyle="1">
    <w:name w:val="ListLabel 1439"/>
    <w:qFormat/>
    <w:rPr>
      <w:rFonts w:eastAsia="Calibri"/>
      <w:b/>
      <w:sz w:val="22"/>
      <w:lang w:eastAsia="el-GR"/>
    </w:rPr>
  </w:style>
  <w:style w:type="character" w:styleId="ListLabel1438" w:customStyle="1">
    <w:name w:val="ListLabel 1438"/>
    <w:qFormat/>
    <w:rPr>
      <w:rFonts w:eastAsia="Calibri"/>
      <w:color w:val="0000FF"/>
      <w:sz w:val="22"/>
      <w:u w:val="single"/>
      <w:lang w:eastAsia="el-GR"/>
    </w:rPr>
  </w:style>
  <w:style w:type="character" w:styleId="ListLabel1437" w:customStyle="1">
    <w:name w:val="ListLabel 1437"/>
    <w:qFormat/>
    <w:rPr>
      <w:rFonts w:eastAsia="Calibri"/>
      <w:sz w:val="22"/>
    </w:rPr>
  </w:style>
  <w:style w:type="character" w:styleId="ListLabel1436" w:customStyle="1">
    <w:name w:val="ListLabel 1436"/>
    <w:qFormat/>
    <w:rPr>
      <w:rFonts w:eastAsia="Calibri"/>
      <w:sz w:val="22"/>
      <w:lang w:eastAsia="en-US"/>
    </w:rPr>
  </w:style>
  <w:style w:type="character" w:styleId="ListLabel1435" w:customStyle="1">
    <w:name w:val="ListLabel 1435"/>
    <w:qFormat/>
    <w:rPr>
      <w:rFonts w:eastAsia="Symbol"/>
    </w:rPr>
  </w:style>
  <w:style w:type="character" w:styleId="ListLabel1434" w:customStyle="1">
    <w:name w:val="ListLabel 1434"/>
    <w:qFormat/>
    <w:rPr>
      <w:rFonts w:eastAsia="Symbol"/>
    </w:rPr>
  </w:style>
  <w:style w:type="character" w:styleId="ListLabel1433" w:customStyle="1">
    <w:name w:val="ListLabel 1433"/>
    <w:qFormat/>
    <w:rPr>
      <w:rFonts w:eastAsia="Symbol"/>
    </w:rPr>
  </w:style>
  <w:style w:type="character" w:styleId="ListLabel1432" w:customStyle="1">
    <w:name w:val="ListLabel 1432"/>
    <w:qFormat/>
    <w:rPr>
      <w:rFonts w:eastAsia="Symbol"/>
    </w:rPr>
  </w:style>
  <w:style w:type="character" w:styleId="ListLabel1431" w:customStyle="1">
    <w:name w:val="ListLabel 1431"/>
    <w:qFormat/>
    <w:rPr>
      <w:rFonts w:eastAsia="Symbol"/>
    </w:rPr>
  </w:style>
  <w:style w:type="character" w:styleId="ListLabel1430" w:customStyle="1">
    <w:name w:val="ListLabel 1430"/>
    <w:qFormat/>
    <w:rPr>
      <w:rFonts w:eastAsia="Symbol"/>
    </w:rPr>
  </w:style>
  <w:style w:type="character" w:styleId="ListLabel1429" w:customStyle="1">
    <w:name w:val="ListLabel 1429"/>
    <w:qFormat/>
    <w:rPr>
      <w:rFonts w:eastAsia="Symbol"/>
    </w:rPr>
  </w:style>
  <w:style w:type="character" w:styleId="ListLabel1428" w:customStyle="1">
    <w:name w:val="ListLabel 1428"/>
    <w:qFormat/>
    <w:rPr>
      <w:rFonts w:eastAsia="Symbol"/>
    </w:rPr>
  </w:style>
  <w:style w:type="character" w:styleId="ListLabel1427" w:customStyle="1">
    <w:name w:val="ListLabel 1427"/>
    <w:qFormat/>
    <w:rPr>
      <w:rFonts w:eastAsia="Symbol"/>
    </w:rPr>
  </w:style>
  <w:style w:type="character" w:styleId="ListLabel1426" w:customStyle="1">
    <w:name w:val="ListLabel 1426"/>
    <w:qFormat/>
    <w:rPr>
      <w:rFonts w:eastAsia="Wingdings"/>
    </w:rPr>
  </w:style>
  <w:style w:type="character" w:styleId="ListLabel1425" w:customStyle="1">
    <w:name w:val="ListLabel 1425"/>
    <w:qFormat/>
    <w:rPr>
      <w:rFonts w:eastAsia="Courier New"/>
    </w:rPr>
  </w:style>
  <w:style w:type="character" w:styleId="ListLabel1424" w:customStyle="1">
    <w:name w:val="ListLabel 1424"/>
    <w:qFormat/>
    <w:rPr>
      <w:rFonts w:eastAsia="Symbol"/>
    </w:rPr>
  </w:style>
  <w:style w:type="character" w:styleId="ListLabel1423" w:customStyle="1">
    <w:name w:val="ListLabel 1423"/>
    <w:qFormat/>
    <w:rPr>
      <w:rFonts w:eastAsia="Wingdings"/>
    </w:rPr>
  </w:style>
  <w:style w:type="character" w:styleId="ListLabel1422" w:customStyle="1">
    <w:name w:val="ListLabel 1422"/>
    <w:qFormat/>
    <w:rPr>
      <w:rFonts w:eastAsia="Courier New"/>
    </w:rPr>
  </w:style>
  <w:style w:type="character" w:styleId="ListLabel1421" w:customStyle="1">
    <w:name w:val="ListLabel 1421"/>
    <w:qFormat/>
    <w:rPr>
      <w:rFonts w:eastAsia="Symbol"/>
    </w:rPr>
  </w:style>
  <w:style w:type="character" w:styleId="ListLabel1420" w:customStyle="1">
    <w:name w:val="ListLabel 1420"/>
    <w:qFormat/>
    <w:rPr>
      <w:rFonts w:eastAsia="Wingdings"/>
    </w:rPr>
  </w:style>
  <w:style w:type="character" w:styleId="ListLabel1419" w:customStyle="1">
    <w:name w:val="ListLabel 1419"/>
    <w:qFormat/>
    <w:rPr>
      <w:rFonts w:eastAsia="Courier New"/>
    </w:rPr>
  </w:style>
  <w:style w:type="character" w:styleId="ListLabel1418" w:customStyle="1">
    <w:name w:val="ListLabel 1418"/>
    <w:qFormat/>
    <w:rPr>
      <w:rFonts w:ascii="Calibri" w:hAnsi="Calibri" w:eastAsia="Wingdings"/>
      <w:b/>
      <w:sz w:val="22"/>
    </w:rPr>
  </w:style>
  <w:style w:type="character" w:styleId="ListLabel1417" w:customStyle="1">
    <w:name w:val="ListLabel 1417"/>
    <w:qFormat/>
    <w:rPr>
      <w:rFonts w:eastAsia="Wingdings"/>
    </w:rPr>
  </w:style>
  <w:style w:type="character" w:styleId="ListLabel1416" w:customStyle="1">
    <w:name w:val="ListLabel 1416"/>
    <w:qFormat/>
    <w:rPr>
      <w:rFonts w:eastAsia="Courier New"/>
    </w:rPr>
  </w:style>
  <w:style w:type="character" w:styleId="ListLabel1415" w:customStyle="1">
    <w:name w:val="ListLabel 1415"/>
    <w:qFormat/>
    <w:rPr>
      <w:rFonts w:eastAsia="Symbol"/>
    </w:rPr>
  </w:style>
  <w:style w:type="character" w:styleId="ListLabel1414" w:customStyle="1">
    <w:name w:val="ListLabel 1414"/>
    <w:qFormat/>
    <w:rPr>
      <w:rFonts w:eastAsia="Wingdings"/>
    </w:rPr>
  </w:style>
  <w:style w:type="character" w:styleId="ListLabel1413" w:customStyle="1">
    <w:name w:val="ListLabel 1413"/>
    <w:qFormat/>
    <w:rPr>
      <w:rFonts w:eastAsia="Courier New"/>
    </w:rPr>
  </w:style>
  <w:style w:type="character" w:styleId="ListLabel1412" w:customStyle="1">
    <w:name w:val="ListLabel 1412"/>
    <w:qFormat/>
    <w:rPr>
      <w:rFonts w:eastAsia="Symbol"/>
    </w:rPr>
  </w:style>
  <w:style w:type="character" w:styleId="ListLabel1411" w:customStyle="1">
    <w:name w:val="ListLabel 1411"/>
    <w:qFormat/>
    <w:rPr>
      <w:rFonts w:eastAsia="Wingdings"/>
    </w:rPr>
  </w:style>
  <w:style w:type="character" w:styleId="ListLabel1410" w:customStyle="1">
    <w:name w:val="ListLabel 1410"/>
    <w:qFormat/>
    <w:rPr>
      <w:rFonts w:eastAsia="Courier New"/>
    </w:rPr>
  </w:style>
  <w:style w:type="character" w:styleId="ListLabel1409" w:customStyle="1">
    <w:name w:val="ListLabel 1409"/>
    <w:qFormat/>
    <w:rPr>
      <w:rFonts w:eastAsia="Wingdings"/>
    </w:rPr>
  </w:style>
  <w:style w:type="character" w:styleId="ListLabel1408" w:customStyle="1">
    <w:name w:val="ListLabel 1408"/>
    <w:qFormat/>
    <w:rPr>
      <w:rFonts w:eastAsia="Calibri"/>
      <w:b w:val="false"/>
      <w:i/>
      <w:sz w:val="22"/>
    </w:rPr>
  </w:style>
  <w:style w:type="character" w:styleId="ListLabel1407" w:customStyle="1">
    <w:name w:val="ListLabel 1407"/>
    <w:qFormat/>
    <w:rPr>
      <w:rFonts w:eastAsia="Wingdings"/>
    </w:rPr>
  </w:style>
  <w:style w:type="character" w:styleId="ListLabel1406" w:customStyle="1">
    <w:name w:val="ListLabel 1406"/>
    <w:qFormat/>
    <w:rPr>
      <w:rFonts w:eastAsia="Courier New"/>
    </w:rPr>
  </w:style>
  <w:style w:type="character" w:styleId="ListLabel1405" w:customStyle="1">
    <w:name w:val="ListLabel 1405"/>
    <w:qFormat/>
    <w:rPr>
      <w:rFonts w:eastAsia="Symbol"/>
    </w:rPr>
  </w:style>
  <w:style w:type="character" w:styleId="ListLabel1404" w:customStyle="1">
    <w:name w:val="ListLabel 1404"/>
    <w:qFormat/>
    <w:rPr>
      <w:rFonts w:eastAsia="Wingdings"/>
    </w:rPr>
  </w:style>
  <w:style w:type="character" w:styleId="ListLabel1403" w:customStyle="1">
    <w:name w:val="ListLabel 1403"/>
    <w:qFormat/>
    <w:rPr>
      <w:rFonts w:eastAsia="Courier New"/>
    </w:rPr>
  </w:style>
  <w:style w:type="character" w:styleId="ListLabel1402" w:customStyle="1">
    <w:name w:val="ListLabel 1402"/>
    <w:qFormat/>
    <w:rPr>
      <w:rFonts w:eastAsia="Symbol"/>
    </w:rPr>
  </w:style>
  <w:style w:type="character" w:styleId="ListLabel1401" w:customStyle="1">
    <w:name w:val="ListLabel 1401"/>
    <w:qFormat/>
    <w:rPr>
      <w:rFonts w:eastAsia="Wingdings"/>
    </w:rPr>
  </w:style>
  <w:style w:type="character" w:styleId="ListLabel1400" w:customStyle="1">
    <w:name w:val="ListLabel 1400"/>
    <w:qFormat/>
    <w:rPr>
      <w:rFonts w:eastAsia="Courier New"/>
    </w:rPr>
  </w:style>
  <w:style w:type="character" w:styleId="ListLabel1399" w:customStyle="1">
    <w:name w:val="ListLabel 1399"/>
    <w:qFormat/>
    <w:rPr>
      <w:rFonts w:eastAsia="Symbol"/>
    </w:rPr>
  </w:style>
  <w:style w:type="character" w:styleId="ListLabel1398" w:customStyle="1">
    <w:name w:val="ListLabel 1398"/>
    <w:qFormat/>
    <w:rPr>
      <w:rFonts w:eastAsia="Symbol"/>
      <w:b/>
      <w:lang w:eastAsia="el-GR"/>
    </w:rPr>
  </w:style>
  <w:style w:type="character" w:styleId="ListLabel1397" w:customStyle="1">
    <w:name w:val="ListLabel 1397"/>
    <w:qFormat/>
    <w:rPr>
      <w:rFonts w:eastAsia="Wingdings"/>
    </w:rPr>
  </w:style>
  <w:style w:type="character" w:styleId="ListLabel1396" w:customStyle="1">
    <w:name w:val="ListLabel 1396"/>
    <w:qFormat/>
    <w:rPr>
      <w:rFonts w:eastAsia="Courier New"/>
    </w:rPr>
  </w:style>
  <w:style w:type="character" w:styleId="ListLabel1395" w:customStyle="1">
    <w:name w:val="ListLabel 1395"/>
    <w:qFormat/>
    <w:rPr>
      <w:rFonts w:eastAsia="Symbol"/>
    </w:rPr>
  </w:style>
  <w:style w:type="character" w:styleId="ListLabel1394" w:customStyle="1">
    <w:name w:val="ListLabel 1394"/>
    <w:qFormat/>
    <w:rPr>
      <w:rFonts w:eastAsia="Wingdings"/>
    </w:rPr>
  </w:style>
  <w:style w:type="character" w:styleId="ListLabel1393" w:customStyle="1">
    <w:name w:val="ListLabel 1393"/>
    <w:qFormat/>
    <w:rPr>
      <w:rFonts w:eastAsia="Courier New"/>
    </w:rPr>
  </w:style>
  <w:style w:type="character" w:styleId="ListLabel1392" w:customStyle="1">
    <w:name w:val="ListLabel 1392"/>
    <w:qFormat/>
    <w:rPr>
      <w:rFonts w:eastAsia="Symbol"/>
    </w:rPr>
  </w:style>
  <w:style w:type="character" w:styleId="ListLabel1391" w:customStyle="1">
    <w:name w:val="ListLabel 1391"/>
    <w:qFormat/>
    <w:rPr>
      <w:rFonts w:eastAsia="Wingdings"/>
    </w:rPr>
  </w:style>
  <w:style w:type="character" w:styleId="ListLabel1390" w:customStyle="1">
    <w:name w:val="ListLabel 1390"/>
    <w:qFormat/>
    <w:rPr>
      <w:rFonts w:eastAsia="Courier New"/>
    </w:rPr>
  </w:style>
  <w:style w:type="character" w:styleId="ListLabel1389" w:customStyle="1">
    <w:name w:val="ListLabel 1389"/>
    <w:qFormat/>
    <w:rPr>
      <w:rFonts w:eastAsia="Symbol"/>
    </w:rPr>
  </w:style>
  <w:style w:type="character" w:styleId="ListLabel1388" w:customStyle="1">
    <w:name w:val="ListLabel 1388"/>
    <w:qFormat/>
    <w:rPr>
      <w:rFonts w:eastAsia="Times New Roman"/>
    </w:rPr>
  </w:style>
  <w:style w:type="character" w:styleId="ListLabel1387" w:customStyle="1">
    <w:name w:val="ListLabel 1387"/>
    <w:qFormat/>
    <w:rPr>
      <w:rFonts w:eastAsia="Times New Roman"/>
    </w:rPr>
  </w:style>
  <w:style w:type="character" w:styleId="ListLabel1386" w:customStyle="1">
    <w:name w:val="ListLabel 1386"/>
    <w:qFormat/>
    <w:rPr>
      <w:rFonts w:eastAsia="Times New Roman"/>
    </w:rPr>
  </w:style>
  <w:style w:type="character" w:styleId="ListLabel1385" w:customStyle="1">
    <w:name w:val="ListLabel 1385"/>
    <w:qFormat/>
    <w:rPr>
      <w:rFonts w:eastAsia="Times New Roman"/>
    </w:rPr>
  </w:style>
  <w:style w:type="character" w:styleId="ListLabel1384" w:customStyle="1">
    <w:name w:val="ListLabel 1384"/>
    <w:qFormat/>
    <w:rPr>
      <w:rFonts w:eastAsia="Times New Roman"/>
    </w:rPr>
  </w:style>
  <w:style w:type="character" w:styleId="ListLabel1383" w:customStyle="1">
    <w:name w:val="ListLabel 1383"/>
    <w:qFormat/>
    <w:rPr>
      <w:rFonts w:eastAsia="Times New Roman"/>
    </w:rPr>
  </w:style>
  <w:style w:type="character" w:styleId="ListLabel1382" w:customStyle="1">
    <w:name w:val="ListLabel 1382"/>
    <w:qFormat/>
    <w:rPr>
      <w:rFonts w:eastAsia="Times New Roman"/>
    </w:rPr>
  </w:style>
  <w:style w:type="character" w:styleId="ListLabel1381" w:customStyle="1">
    <w:name w:val="ListLabel 1381"/>
    <w:qFormat/>
    <w:rPr>
      <w:rFonts w:eastAsia="Times New Roman"/>
    </w:rPr>
  </w:style>
  <w:style w:type="character" w:styleId="ListLabel1380" w:customStyle="1">
    <w:name w:val="ListLabel 1380"/>
    <w:qFormat/>
    <w:rPr>
      <w:rFonts w:ascii="Calibri" w:hAnsi="Calibri" w:eastAsia="Times New Roman"/>
    </w:rPr>
  </w:style>
  <w:style w:type="character" w:styleId="ListLabel1379" w:customStyle="1">
    <w:name w:val="ListLabel 1379"/>
    <w:qFormat/>
    <w:rPr>
      <w:rFonts w:eastAsia="Wingdings"/>
    </w:rPr>
  </w:style>
  <w:style w:type="character" w:styleId="ListLabel1378" w:customStyle="1">
    <w:name w:val="ListLabel 1378"/>
    <w:qFormat/>
    <w:rPr>
      <w:rFonts w:eastAsia="Courier New"/>
    </w:rPr>
  </w:style>
  <w:style w:type="character" w:styleId="ListLabel1377" w:customStyle="1">
    <w:name w:val="ListLabel 1377"/>
    <w:qFormat/>
    <w:rPr>
      <w:rFonts w:eastAsia="Symbol"/>
    </w:rPr>
  </w:style>
  <w:style w:type="character" w:styleId="ListLabel1376" w:customStyle="1">
    <w:name w:val="ListLabel 1376"/>
    <w:qFormat/>
    <w:rPr>
      <w:rFonts w:eastAsia="Wingdings"/>
    </w:rPr>
  </w:style>
  <w:style w:type="character" w:styleId="ListLabel1375" w:customStyle="1">
    <w:name w:val="ListLabel 1375"/>
    <w:qFormat/>
    <w:rPr>
      <w:rFonts w:eastAsia="Courier New"/>
    </w:rPr>
  </w:style>
  <w:style w:type="character" w:styleId="ListLabel1374" w:customStyle="1">
    <w:name w:val="ListLabel 1374"/>
    <w:qFormat/>
    <w:rPr>
      <w:rFonts w:eastAsia="Symbol"/>
    </w:rPr>
  </w:style>
  <w:style w:type="character" w:styleId="ListLabel1373" w:customStyle="1">
    <w:name w:val="ListLabel 1373"/>
    <w:qFormat/>
    <w:rPr>
      <w:rFonts w:eastAsia="Wingdings"/>
    </w:rPr>
  </w:style>
  <w:style w:type="character" w:styleId="ListLabel1372" w:customStyle="1">
    <w:name w:val="ListLabel 1372"/>
    <w:qFormat/>
    <w:rPr>
      <w:rFonts w:eastAsia="Courier New"/>
    </w:rPr>
  </w:style>
  <w:style w:type="character" w:styleId="ListLabel1371" w:customStyle="1">
    <w:name w:val="ListLabel 1371"/>
    <w:qFormat/>
    <w:rPr>
      <w:rFonts w:eastAsia="Wingdings"/>
      <w:color w:val="auto"/>
    </w:rPr>
  </w:style>
  <w:style w:type="character" w:styleId="ListLabel1370" w:customStyle="1">
    <w:name w:val="ListLabel 1370"/>
    <w:qFormat/>
    <w:rPr>
      <w:rFonts w:eastAsia="Times New Roman"/>
    </w:rPr>
  </w:style>
  <w:style w:type="character" w:styleId="ListLabel1369" w:customStyle="1">
    <w:name w:val="ListLabel 1369"/>
    <w:qFormat/>
    <w:rPr>
      <w:rFonts w:eastAsia="Times New Roman"/>
    </w:rPr>
  </w:style>
  <w:style w:type="character" w:styleId="ListLabel1368" w:customStyle="1">
    <w:name w:val="ListLabel 1368"/>
    <w:qFormat/>
    <w:rPr>
      <w:rFonts w:eastAsia="Times New Roman"/>
    </w:rPr>
  </w:style>
  <w:style w:type="character" w:styleId="ListLabel1367" w:customStyle="1">
    <w:name w:val="ListLabel 1367"/>
    <w:qFormat/>
    <w:rPr>
      <w:rFonts w:eastAsia="Times New Roman"/>
    </w:rPr>
  </w:style>
  <w:style w:type="character" w:styleId="ListLabel1366" w:customStyle="1">
    <w:name w:val="ListLabel 1366"/>
    <w:qFormat/>
    <w:rPr>
      <w:rFonts w:eastAsia="Times New Roman"/>
    </w:rPr>
  </w:style>
  <w:style w:type="character" w:styleId="ListLabel1365" w:customStyle="1">
    <w:name w:val="ListLabel 1365"/>
    <w:qFormat/>
    <w:rPr>
      <w:rFonts w:eastAsia="Times New Roman"/>
    </w:rPr>
  </w:style>
  <w:style w:type="character" w:styleId="ListLabel1364" w:customStyle="1">
    <w:name w:val="ListLabel 1364"/>
    <w:qFormat/>
    <w:rPr>
      <w:rFonts w:eastAsia="Times New Roman"/>
    </w:rPr>
  </w:style>
  <w:style w:type="character" w:styleId="ListLabel1363" w:customStyle="1">
    <w:name w:val="ListLabel 1363"/>
    <w:qFormat/>
    <w:rPr>
      <w:rFonts w:eastAsia="Times New Roman"/>
    </w:rPr>
  </w:style>
  <w:style w:type="character" w:styleId="ListLabel1362" w:customStyle="1">
    <w:name w:val="ListLabel 1362"/>
    <w:qFormat/>
    <w:rPr>
      <w:rFonts w:eastAsia="Times New Roman"/>
      <w:sz w:val="16"/>
    </w:rPr>
  </w:style>
  <w:style w:type="character" w:styleId="ListLabel1361" w:customStyle="1">
    <w:name w:val="ListLabel 1361"/>
    <w:qFormat/>
    <w:rPr>
      <w:rFonts w:eastAsia="Times New Roman"/>
      <w:sz w:val="22"/>
    </w:rPr>
  </w:style>
  <w:style w:type="character" w:styleId="ListLabel1360" w:customStyle="1">
    <w:name w:val="ListLabel 1360"/>
    <w:qFormat/>
    <w:rPr>
      <w:rFonts w:eastAsia="Tahoma"/>
      <w:sz w:val="22"/>
      <w:lang w:eastAsia="el-GR"/>
    </w:rPr>
  </w:style>
  <w:style w:type="character" w:styleId="ListLabel1359" w:customStyle="1">
    <w:name w:val="ListLabel 1359"/>
    <w:qFormat/>
    <w:rPr>
      <w:rFonts w:eastAsia="Tahoma"/>
      <w:sz w:val="22"/>
      <w:lang w:eastAsia="en-US"/>
    </w:rPr>
  </w:style>
  <w:style w:type="character" w:styleId="ListLabel1358" w:customStyle="1">
    <w:name w:val="ListLabel 1358"/>
    <w:qFormat/>
    <w:rPr>
      <w:rFonts w:eastAsia="Calibri"/>
    </w:rPr>
  </w:style>
  <w:style w:type="character" w:styleId="ListLabel1357" w:customStyle="1">
    <w:name w:val="ListLabel 1357"/>
    <w:qFormat/>
    <w:rPr>
      <w:rFonts w:ascii="Calibri" w:hAnsi="Calibri" w:eastAsia="Calibri"/>
      <w:sz w:val="22"/>
    </w:rPr>
  </w:style>
  <w:style w:type="character" w:styleId="ListLabel1356" w:customStyle="1">
    <w:name w:val="ListLabel 1356"/>
    <w:qFormat/>
    <w:rPr>
      <w:rFonts w:eastAsia="Tahoma"/>
      <w:color w:val="auto"/>
      <w:sz w:val="22"/>
      <w:lang w:eastAsia="el-GR"/>
    </w:rPr>
  </w:style>
  <w:style w:type="character" w:styleId="ListLabel1355" w:customStyle="1">
    <w:name w:val="ListLabel 1355"/>
    <w:qFormat/>
    <w:rPr>
      <w:rFonts w:eastAsia="Tahoma"/>
      <w:i/>
      <w:color w:val="auto"/>
      <w:sz w:val="22"/>
    </w:rPr>
  </w:style>
  <w:style w:type="character" w:styleId="ListLabel1354" w:customStyle="1">
    <w:name w:val="ListLabel 1354"/>
    <w:qFormat/>
    <w:rPr>
      <w:rFonts w:eastAsia="Calibri"/>
      <w:b/>
      <w:sz w:val="22"/>
      <w:lang w:eastAsia="el-GR"/>
    </w:rPr>
  </w:style>
  <w:style w:type="character" w:styleId="ListLabel1353" w:customStyle="1">
    <w:name w:val="ListLabel 1353"/>
    <w:qFormat/>
    <w:rPr>
      <w:rFonts w:eastAsia="Calibri"/>
      <w:b/>
      <w:sz w:val="22"/>
      <w:lang w:eastAsia="en-US"/>
    </w:rPr>
  </w:style>
  <w:style w:type="character" w:styleId="ListLabel1352" w:customStyle="1">
    <w:name w:val="ListLabel 1352"/>
    <w:qFormat/>
    <w:rPr>
      <w:rFonts w:eastAsia="Calibri"/>
      <w:lang w:eastAsia="el-GR"/>
    </w:rPr>
  </w:style>
  <w:style w:type="character" w:styleId="ListLabel1351" w:customStyle="1">
    <w:name w:val="ListLabel 1351"/>
    <w:qFormat/>
    <w:rPr>
      <w:rFonts w:eastAsia="Calibri"/>
    </w:rPr>
  </w:style>
  <w:style w:type="character" w:styleId="ListLabel1350" w:customStyle="1">
    <w:name w:val="ListLabel 1350"/>
    <w:qFormat/>
    <w:rPr>
      <w:rFonts w:eastAsia="Calibri"/>
      <w:b/>
      <w:color w:val="0000FF"/>
      <w:sz w:val="22"/>
      <w:u w:val="single"/>
      <w:lang w:eastAsia="el-GR"/>
    </w:rPr>
  </w:style>
  <w:style w:type="character" w:styleId="ListLabel1349" w:customStyle="1">
    <w:name w:val="ListLabel 1349"/>
    <w:qFormat/>
    <w:rPr>
      <w:rFonts w:eastAsia="Calibri"/>
      <w:b/>
      <w:sz w:val="22"/>
      <w:lang w:eastAsia="en-US"/>
    </w:rPr>
  </w:style>
  <w:style w:type="character" w:styleId="ListLabel1348" w:customStyle="1">
    <w:name w:val="ListLabel 1348"/>
    <w:qFormat/>
    <w:rPr>
      <w:rFonts w:eastAsia="Calibri"/>
      <w:b/>
      <w:sz w:val="22"/>
    </w:rPr>
  </w:style>
  <w:style w:type="character" w:styleId="ListLabel1347" w:customStyle="1">
    <w:name w:val="ListLabel 1347"/>
    <w:qFormat/>
    <w:rPr>
      <w:rFonts w:eastAsia="Calibri"/>
      <w:b/>
      <w:sz w:val="22"/>
      <w:lang w:eastAsia="el-GR"/>
    </w:rPr>
  </w:style>
  <w:style w:type="character" w:styleId="ListLabel1346" w:customStyle="1">
    <w:name w:val="ListLabel 1346"/>
    <w:qFormat/>
    <w:rPr>
      <w:rFonts w:eastAsia="Calibri"/>
      <w:b/>
      <w:sz w:val="22"/>
      <w:lang w:eastAsia="el-GR"/>
    </w:rPr>
  </w:style>
  <w:style w:type="character" w:styleId="ListLabel1345" w:customStyle="1">
    <w:name w:val="ListLabel 1345"/>
    <w:qFormat/>
    <w:rPr>
      <w:rFonts w:eastAsia="Calibri"/>
      <w:b/>
      <w:sz w:val="22"/>
      <w:lang w:eastAsia="el-GR"/>
    </w:rPr>
  </w:style>
  <w:style w:type="character" w:styleId="ListLabel1344" w:customStyle="1">
    <w:name w:val="ListLabel 1344"/>
    <w:qFormat/>
    <w:rPr>
      <w:rFonts w:eastAsia="Calibri"/>
      <w:b/>
      <w:sz w:val="22"/>
      <w:lang w:eastAsia="el-GR"/>
    </w:rPr>
  </w:style>
  <w:style w:type="character" w:styleId="ListLabel1343" w:customStyle="1">
    <w:name w:val="ListLabel 1343"/>
    <w:qFormat/>
    <w:rPr>
      <w:rFonts w:eastAsia="Calibri"/>
      <w:color w:val="0000FF"/>
      <w:sz w:val="22"/>
      <w:u w:val="single"/>
      <w:lang w:eastAsia="el-GR"/>
    </w:rPr>
  </w:style>
  <w:style w:type="character" w:styleId="ListLabel1342" w:customStyle="1">
    <w:name w:val="ListLabel 1342"/>
    <w:qFormat/>
    <w:rPr>
      <w:rFonts w:eastAsia="Calibri"/>
      <w:sz w:val="22"/>
    </w:rPr>
  </w:style>
  <w:style w:type="character" w:styleId="ListLabel1341" w:customStyle="1">
    <w:name w:val="ListLabel 1341"/>
    <w:qFormat/>
    <w:rPr>
      <w:rFonts w:eastAsia="Calibri"/>
      <w:sz w:val="22"/>
      <w:lang w:eastAsia="en-US"/>
    </w:rPr>
  </w:style>
  <w:style w:type="character" w:styleId="ListLabel1340" w:customStyle="1">
    <w:name w:val="ListLabel 1340"/>
    <w:qFormat/>
    <w:rPr>
      <w:rFonts w:eastAsia="Symbol"/>
    </w:rPr>
  </w:style>
  <w:style w:type="character" w:styleId="ListLabel1339" w:customStyle="1">
    <w:name w:val="ListLabel 1339"/>
    <w:qFormat/>
    <w:rPr>
      <w:rFonts w:eastAsia="Symbol"/>
    </w:rPr>
  </w:style>
  <w:style w:type="character" w:styleId="ListLabel1338" w:customStyle="1">
    <w:name w:val="ListLabel 1338"/>
    <w:qFormat/>
    <w:rPr>
      <w:rFonts w:eastAsia="Symbol"/>
    </w:rPr>
  </w:style>
  <w:style w:type="character" w:styleId="ListLabel1337" w:customStyle="1">
    <w:name w:val="ListLabel 1337"/>
    <w:qFormat/>
    <w:rPr>
      <w:rFonts w:eastAsia="Symbol"/>
    </w:rPr>
  </w:style>
  <w:style w:type="character" w:styleId="ListLabel1336" w:customStyle="1">
    <w:name w:val="ListLabel 1336"/>
    <w:qFormat/>
    <w:rPr>
      <w:rFonts w:eastAsia="Symbol"/>
    </w:rPr>
  </w:style>
  <w:style w:type="character" w:styleId="ListLabel1335" w:customStyle="1">
    <w:name w:val="ListLabel 1335"/>
    <w:qFormat/>
    <w:rPr>
      <w:rFonts w:eastAsia="Symbol"/>
    </w:rPr>
  </w:style>
  <w:style w:type="character" w:styleId="ListLabel1334" w:customStyle="1">
    <w:name w:val="ListLabel 1334"/>
    <w:qFormat/>
    <w:rPr>
      <w:rFonts w:eastAsia="Symbol"/>
    </w:rPr>
  </w:style>
  <w:style w:type="character" w:styleId="ListLabel1333" w:customStyle="1">
    <w:name w:val="ListLabel 1333"/>
    <w:qFormat/>
    <w:rPr>
      <w:rFonts w:eastAsia="Symbol"/>
    </w:rPr>
  </w:style>
  <w:style w:type="character" w:styleId="ListLabel1332" w:customStyle="1">
    <w:name w:val="ListLabel 1332"/>
    <w:qFormat/>
    <w:rPr>
      <w:rFonts w:eastAsia="Symbol"/>
    </w:rPr>
  </w:style>
  <w:style w:type="character" w:styleId="ListLabel1331" w:customStyle="1">
    <w:name w:val="ListLabel 1331"/>
    <w:qFormat/>
    <w:rPr>
      <w:rFonts w:eastAsia="Wingdings"/>
    </w:rPr>
  </w:style>
  <w:style w:type="character" w:styleId="ListLabel1330" w:customStyle="1">
    <w:name w:val="ListLabel 1330"/>
    <w:qFormat/>
    <w:rPr>
      <w:rFonts w:eastAsia="Courier New"/>
    </w:rPr>
  </w:style>
  <w:style w:type="character" w:styleId="ListLabel1329" w:customStyle="1">
    <w:name w:val="ListLabel 1329"/>
    <w:qFormat/>
    <w:rPr>
      <w:rFonts w:eastAsia="Symbol"/>
    </w:rPr>
  </w:style>
  <w:style w:type="character" w:styleId="ListLabel1328" w:customStyle="1">
    <w:name w:val="ListLabel 1328"/>
    <w:qFormat/>
    <w:rPr>
      <w:rFonts w:eastAsia="Wingdings"/>
    </w:rPr>
  </w:style>
  <w:style w:type="character" w:styleId="ListLabel1327" w:customStyle="1">
    <w:name w:val="ListLabel 1327"/>
    <w:qFormat/>
    <w:rPr>
      <w:rFonts w:eastAsia="Courier New"/>
    </w:rPr>
  </w:style>
  <w:style w:type="character" w:styleId="ListLabel1326" w:customStyle="1">
    <w:name w:val="ListLabel 1326"/>
    <w:qFormat/>
    <w:rPr>
      <w:rFonts w:eastAsia="Symbol"/>
    </w:rPr>
  </w:style>
  <w:style w:type="character" w:styleId="ListLabel1325" w:customStyle="1">
    <w:name w:val="ListLabel 1325"/>
    <w:qFormat/>
    <w:rPr>
      <w:rFonts w:eastAsia="Wingdings"/>
    </w:rPr>
  </w:style>
  <w:style w:type="character" w:styleId="ListLabel1324" w:customStyle="1">
    <w:name w:val="ListLabel 1324"/>
    <w:qFormat/>
    <w:rPr>
      <w:rFonts w:eastAsia="Courier New"/>
    </w:rPr>
  </w:style>
  <w:style w:type="character" w:styleId="ListLabel1323" w:customStyle="1">
    <w:name w:val="ListLabel 1323"/>
    <w:qFormat/>
    <w:rPr>
      <w:rFonts w:ascii="Calibri" w:hAnsi="Calibri" w:eastAsia="Wingdings"/>
      <w:b/>
      <w:sz w:val="22"/>
    </w:rPr>
  </w:style>
  <w:style w:type="character" w:styleId="ListLabel1322" w:customStyle="1">
    <w:name w:val="ListLabel 1322"/>
    <w:qFormat/>
    <w:rPr>
      <w:rFonts w:eastAsia="Wingdings"/>
    </w:rPr>
  </w:style>
  <w:style w:type="character" w:styleId="ListLabel1321" w:customStyle="1">
    <w:name w:val="ListLabel 1321"/>
    <w:qFormat/>
    <w:rPr>
      <w:rFonts w:eastAsia="Courier New"/>
    </w:rPr>
  </w:style>
  <w:style w:type="character" w:styleId="ListLabel1320" w:customStyle="1">
    <w:name w:val="ListLabel 1320"/>
    <w:qFormat/>
    <w:rPr>
      <w:rFonts w:eastAsia="Symbol"/>
    </w:rPr>
  </w:style>
  <w:style w:type="character" w:styleId="ListLabel1319" w:customStyle="1">
    <w:name w:val="ListLabel 1319"/>
    <w:qFormat/>
    <w:rPr>
      <w:rFonts w:eastAsia="Wingdings"/>
    </w:rPr>
  </w:style>
  <w:style w:type="character" w:styleId="ListLabel1318" w:customStyle="1">
    <w:name w:val="ListLabel 1318"/>
    <w:qFormat/>
    <w:rPr>
      <w:rFonts w:eastAsia="Courier New"/>
    </w:rPr>
  </w:style>
  <w:style w:type="character" w:styleId="ListLabel1317" w:customStyle="1">
    <w:name w:val="ListLabel 1317"/>
    <w:qFormat/>
    <w:rPr>
      <w:rFonts w:eastAsia="Symbol"/>
    </w:rPr>
  </w:style>
  <w:style w:type="character" w:styleId="ListLabel1316" w:customStyle="1">
    <w:name w:val="ListLabel 1316"/>
    <w:qFormat/>
    <w:rPr>
      <w:rFonts w:eastAsia="Wingdings"/>
    </w:rPr>
  </w:style>
  <w:style w:type="character" w:styleId="ListLabel1315" w:customStyle="1">
    <w:name w:val="ListLabel 1315"/>
    <w:qFormat/>
    <w:rPr>
      <w:rFonts w:eastAsia="Courier New"/>
    </w:rPr>
  </w:style>
  <w:style w:type="character" w:styleId="ListLabel1314" w:customStyle="1">
    <w:name w:val="ListLabel 1314"/>
    <w:qFormat/>
    <w:rPr>
      <w:rFonts w:eastAsia="Wingdings"/>
    </w:rPr>
  </w:style>
  <w:style w:type="character" w:styleId="ListLabel1313" w:customStyle="1">
    <w:name w:val="ListLabel 1313"/>
    <w:qFormat/>
    <w:rPr>
      <w:rFonts w:eastAsia="Calibri"/>
      <w:b w:val="false"/>
      <w:i/>
      <w:sz w:val="22"/>
    </w:rPr>
  </w:style>
  <w:style w:type="character" w:styleId="ListLabel1312" w:customStyle="1">
    <w:name w:val="ListLabel 1312"/>
    <w:qFormat/>
    <w:rPr>
      <w:rFonts w:eastAsia="Wingdings"/>
    </w:rPr>
  </w:style>
  <w:style w:type="character" w:styleId="ListLabel1311" w:customStyle="1">
    <w:name w:val="ListLabel 1311"/>
    <w:qFormat/>
    <w:rPr>
      <w:rFonts w:eastAsia="Courier New"/>
    </w:rPr>
  </w:style>
  <w:style w:type="character" w:styleId="ListLabel1310" w:customStyle="1">
    <w:name w:val="ListLabel 1310"/>
    <w:qFormat/>
    <w:rPr>
      <w:rFonts w:eastAsia="Symbol"/>
    </w:rPr>
  </w:style>
  <w:style w:type="character" w:styleId="ListLabel1309" w:customStyle="1">
    <w:name w:val="ListLabel 1309"/>
    <w:qFormat/>
    <w:rPr>
      <w:rFonts w:eastAsia="Wingdings"/>
    </w:rPr>
  </w:style>
  <w:style w:type="character" w:styleId="ListLabel1308" w:customStyle="1">
    <w:name w:val="ListLabel 1308"/>
    <w:qFormat/>
    <w:rPr>
      <w:rFonts w:eastAsia="Courier New"/>
    </w:rPr>
  </w:style>
  <w:style w:type="character" w:styleId="ListLabel1307" w:customStyle="1">
    <w:name w:val="ListLabel 1307"/>
    <w:qFormat/>
    <w:rPr>
      <w:rFonts w:eastAsia="Symbol"/>
    </w:rPr>
  </w:style>
  <w:style w:type="character" w:styleId="ListLabel1306" w:customStyle="1">
    <w:name w:val="ListLabel 1306"/>
    <w:qFormat/>
    <w:rPr>
      <w:rFonts w:eastAsia="Wingdings"/>
    </w:rPr>
  </w:style>
  <w:style w:type="character" w:styleId="ListLabel1305" w:customStyle="1">
    <w:name w:val="ListLabel 1305"/>
    <w:qFormat/>
    <w:rPr>
      <w:rFonts w:eastAsia="Courier New"/>
    </w:rPr>
  </w:style>
  <w:style w:type="character" w:styleId="ListLabel1304" w:customStyle="1">
    <w:name w:val="ListLabel 1304"/>
    <w:qFormat/>
    <w:rPr>
      <w:rFonts w:eastAsia="Symbol"/>
    </w:rPr>
  </w:style>
  <w:style w:type="character" w:styleId="ListLabel1303" w:customStyle="1">
    <w:name w:val="ListLabel 1303"/>
    <w:qFormat/>
    <w:rPr>
      <w:rFonts w:eastAsia="Symbol"/>
      <w:b/>
      <w:lang w:eastAsia="el-GR"/>
    </w:rPr>
  </w:style>
  <w:style w:type="character" w:styleId="ListLabel1302" w:customStyle="1">
    <w:name w:val="ListLabel 1302"/>
    <w:qFormat/>
    <w:rPr>
      <w:rFonts w:eastAsia="Wingdings"/>
    </w:rPr>
  </w:style>
  <w:style w:type="character" w:styleId="ListLabel1301" w:customStyle="1">
    <w:name w:val="ListLabel 1301"/>
    <w:qFormat/>
    <w:rPr>
      <w:rFonts w:eastAsia="Courier New"/>
    </w:rPr>
  </w:style>
  <w:style w:type="character" w:styleId="ListLabel1300" w:customStyle="1">
    <w:name w:val="ListLabel 1300"/>
    <w:qFormat/>
    <w:rPr>
      <w:rFonts w:eastAsia="Symbol"/>
    </w:rPr>
  </w:style>
  <w:style w:type="character" w:styleId="ListLabel1299" w:customStyle="1">
    <w:name w:val="ListLabel 1299"/>
    <w:qFormat/>
    <w:rPr>
      <w:rFonts w:eastAsia="Wingdings"/>
    </w:rPr>
  </w:style>
  <w:style w:type="character" w:styleId="ListLabel1298" w:customStyle="1">
    <w:name w:val="ListLabel 1298"/>
    <w:qFormat/>
    <w:rPr>
      <w:rFonts w:eastAsia="Courier New"/>
    </w:rPr>
  </w:style>
  <w:style w:type="character" w:styleId="ListLabel1297" w:customStyle="1">
    <w:name w:val="ListLabel 1297"/>
    <w:qFormat/>
    <w:rPr>
      <w:rFonts w:eastAsia="Symbol"/>
    </w:rPr>
  </w:style>
  <w:style w:type="character" w:styleId="ListLabel1296" w:customStyle="1">
    <w:name w:val="ListLabel 1296"/>
    <w:qFormat/>
    <w:rPr>
      <w:rFonts w:eastAsia="Wingdings"/>
    </w:rPr>
  </w:style>
  <w:style w:type="character" w:styleId="ListLabel1295" w:customStyle="1">
    <w:name w:val="ListLabel 1295"/>
    <w:qFormat/>
    <w:rPr>
      <w:rFonts w:eastAsia="Courier New"/>
    </w:rPr>
  </w:style>
  <w:style w:type="character" w:styleId="ListLabel1294" w:customStyle="1">
    <w:name w:val="ListLabel 1294"/>
    <w:qFormat/>
    <w:rPr>
      <w:rFonts w:eastAsia="Symbol"/>
    </w:rPr>
  </w:style>
  <w:style w:type="character" w:styleId="ListLabel1293" w:customStyle="1">
    <w:name w:val="ListLabel 1293"/>
    <w:qFormat/>
    <w:rPr>
      <w:rFonts w:eastAsia="Times New Roman"/>
    </w:rPr>
  </w:style>
  <w:style w:type="character" w:styleId="ListLabel1292" w:customStyle="1">
    <w:name w:val="ListLabel 1292"/>
    <w:qFormat/>
    <w:rPr>
      <w:rFonts w:eastAsia="Times New Roman"/>
    </w:rPr>
  </w:style>
  <w:style w:type="character" w:styleId="ListLabel1291" w:customStyle="1">
    <w:name w:val="ListLabel 1291"/>
    <w:qFormat/>
    <w:rPr>
      <w:rFonts w:eastAsia="Times New Roman"/>
    </w:rPr>
  </w:style>
  <w:style w:type="character" w:styleId="ListLabel1290" w:customStyle="1">
    <w:name w:val="ListLabel 1290"/>
    <w:qFormat/>
    <w:rPr>
      <w:rFonts w:eastAsia="Times New Roman"/>
    </w:rPr>
  </w:style>
  <w:style w:type="character" w:styleId="ListLabel1289" w:customStyle="1">
    <w:name w:val="ListLabel 1289"/>
    <w:qFormat/>
    <w:rPr>
      <w:rFonts w:eastAsia="Times New Roman"/>
    </w:rPr>
  </w:style>
  <w:style w:type="character" w:styleId="ListLabel1288" w:customStyle="1">
    <w:name w:val="ListLabel 1288"/>
    <w:qFormat/>
    <w:rPr>
      <w:rFonts w:eastAsia="Times New Roman"/>
    </w:rPr>
  </w:style>
  <w:style w:type="character" w:styleId="ListLabel1287" w:customStyle="1">
    <w:name w:val="ListLabel 1287"/>
    <w:qFormat/>
    <w:rPr>
      <w:rFonts w:eastAsia="Times New Roman"/>
    </w:rPr>
  </w:style>
  <w:style w:type="character" w:styleId="ListLabel1286" w:customStyle="1">
    <w:name w:val="ListLabel 1286"/>
    <w:qFormat/>
    <w:rPr>
      <w:rFonts w:eastAsia="Times New Roman"/>
    </w:rPr>
  </w:style>
  <w:style w:type="character" w:styleId="ListLabel1285" w:customStyle="1">
    <w:name w:val="ListLabel 1285"/>
    <w:qFormat/>
    <w:rPr>
      <w:rFonts w:ascii="Calibri" w:hAnsi="Calibri" w:eastAsia="Times New Roman"/>
    </w:rPr>
  </w:style>
  <w:style w:type="character" w:styleId="ListLabel1284" w:customStyle="1">
    <w:name w:val="ListLabel 1284"/>
    <w:qFormat/>
    <w:rPr>
      <w:rFonts w:eastAsia="Wingdings"/>
    </w:rPr>
  </w:style>
  <w:style w:type="character" w:styleId="ListLabel1283" w:customStyle="1">
    <w:name w:val="ListLabel 1283"/>
    <w:qFormat/>
    <w:rPr>
      <w:rFonts w:eastAsia="Courier New"/>
    </w:rPr>
  </w:style>
  <w:style w:type="character" w:styleId="ListLabel1282" w:customStyle="1">
    <w:name w:val="ListLabel 1282"/>
    <w:qFormat/>
    <w:rPr>
      <w:rFonts w:eastAsia="Symbol"/>
    </w:rPr>
  </w:style>
  <w:style w:type="character" w:styleId="ListLabel1281" w:customStyle="1">
    <w:name w:val="ListLabel 1281"/>
    <w:qFormat/>
    <w:rPr>
      <w:rFonts w:eastAsia="Wingdings"/>
    </w:rPr>
  </w:style>
  <w:style w:type="character" w:styleId="ListLabel1280" w:customStyle="1">
    <w:name w:val="ListLabel 1280"/>
    <w:qFormat/>
    <w:rPr>
      <w:rFonts w:eastAsia="Courier New"/>
    </w:rPr>
  </w:style>
  <w:style w:type="character" w:styleId="ListLabel1279" w:customStyle="1">
    <w:name w:val="ListLabel 1279"/>
    <w:qFormat/>
    <w:rPr>
      <w:rFonts w:eastAsia="Symbol"/>
    </w:rPr>
  </w:style>
  <w:style w:type="character" w:styleId="ListLabel1278" w:customStyle="1">
    <w:name w:val="ListLabel 1278"/>
    <w:qFormat/>
    <w:rPr>
      <w:rFonts w:eastAsia="Wingdings"/>
    </w:rPr>
  </w:style>
  <w:style w:type="character" w:styleId="ListLabel1277" w:customStyle="1">
    <w:name w:val="ListLabel 1277"/>
    <w:qFormat/>
    <w:rPr>
      <w:rFonts w:eastAsia="Courier New"/>
    </w:rPr>
  </w:style>
  <w:style w:type="character" w:styleId="ListLabel1276" w:customStyle="1">
    <w:name w:val="ListLabel 1276"/>
    <w:qFormat/>
    <w:rPr>
      <w:rFonts w:eastAsia="Wingdings"/>
      <w:color w:val="auto"/>
    </w:rPr>
  </w:style>
  <w:style w:type="character" w:styleId="ListLabel1275" w:customStyle="1">
    <w:name w:val="ListLabel 1275"/>
    <w:qFormat/>
    <w:rPr>
      <w:rFonts w:eastAsia="Times New Roman"/>
    </w:rPr>
  </w:style>
  <w:style w:type="character" w:styleId="ListLabel1274" w:customStyle="1">
    <w:name w:val="ListLabel 1274"/>
    <w:qFormat/>
    <w:rPr>
      <w:rFonts w:eastAsia="Times New Roman"/>
    </w:rPr>
  </w:style>
  <w:style w:type="character" w:styleId="ListLabel1273" w:customStyle="1">
    <w:name w:val="ListLabel 1273"/>
    <w:qFormat/>
    <w:rPr>
      <w:rFonts w:eastAsia="Times New Roman"/>
    </w:rPr>
  </w:style>
  <w:style w:type="character" w:styleId="ListLabel1272" w:customStyle="1">
    <w:name w:val="ListLabel 1272"/>
    <w:qFormat/>
    <w:rPr>
      <w:rFonts w:eastAsia="Times New Roman"/>
    </w:rPr>
  </w:style>
  <w:style w:type="character" w:styleId="ListLabel1271" w:customStyle="1">
    <w:name w:val="ListLabel 1271"/>
    <w:qFormat/>
    <w:rPr>
      <w:rFonts w:eastAsia="Times New Roman"/>
    </w:rPr>
  </w:style>
  <w:style w:type="character" w:styleId="ListLabel1270" w:customStyle="1">
    <w:name w:val="ListLabel 1270"/>
    <w:qFormat/>
    <w:rPr>
      <w:rFonts w:eastAsia="Times New Roman"/>
    </w:rPr>
  </w:style>
  <w:style w:type="character" w:styleId="ListLabel1269" w:customStyle="1">
    <w:name w:val="ListLabel 1269"/>
    <w:qFormat/>
    <w:rPr>
      <w:rFonts w:eastAsia="Times New Roman"/>
    </w:rPr>
  </w:style>
  <w:style w:type="character" w:styleId="ListLabel1268" w:customStyle="1">
    <w:name w:val="ListLabel 1268"/>
    <w:qFormat/>
    <w:rPr>
      <w:rFonts w:eastAsia="Times New Roman"/>
    </w:rPr>
  </w:style>
  <w:style w:type="character" w:styleId="ListLabel1267" w:customStyle="1">
    <w:name w:val="ListLabel 1267"/>
    <w:qFormat/>
    <w:rPr>
      <w:rFonts w:eastAsia="Times New Roman"/>
      <w:sz w:val="16"/>
    </w:rPr>
  </w:style>
  <w:style w:type="character" w:styleId="ListLabel1266" w:customStyle="1">
    <w:name w:val="ListLabel 1266"/>
    <w:qFormat/>
    <w:rPr>
      <w:rFonts w:eastAsia="Times New Roman"/>
      <w:sz w:val="22"/>
    </w:rPr>
  </w:style>
  <w:style w:type="character" w:styleId="ListLabel1265" w:customStyle="1">
    <w:name w:val="ListLabel 1265"/>
    <w:qFormat/>
    <w:rPr>
      <w:rFonts w:eastAsia="Tahoma"/>
      <w:sz w:val="22"/>
      <w:lang w:eastAsia="el-GR"/>
    </w:rPr>
  </w:style>
  <w:style w:type="character" w:styleId="ListLabel1264" w:customStyle="1">
    <w:name w:val="ListLabel 1264"/>
    <w:qFormat/>
    <w:rPr>
      <w:rFonts w:eastAsia="Tahoma"/>
      <w:sz w:val="22"/>
      <w:lang w:eastAsia="en-US"/>
    </w:rPr>
  </w:style>
  <w:style w:type="character" w:styleId="ListLabel1263" w:customStyle="1">
    <w:name w:val="ListLabel 1263"/>
    <w:qFormat/>
    <w:rPr>
      <w:rFonts w:eastAsia="Calibri"/>
    </w:rPr>
  </w:style>
  <w:style w:type="character" w:styleId="ListLabel1262" w:customStyle="1">
    <w:name w:val="ListLabel 1262"/>
    <w:qFormat/>
    <w:rPr>
      <w:rFonts w:ascii="Calibri" w:hAnsi="Calibri" w:eastAsia="Calibri"/>
      <w:sz w:val="22"/>
    </w:rPr>
  </w:style>
  <w:style w:type="character" w:styleId="ListLabel1261" w:customStyle="1">
    <w:name w:val="ListLabel 1261"/>
    <w:qFormat/>
    <w:rPr>
      <w:rFonts w:eastAsia="Tahoma"/>
      <w:color w:val="auto"/>
      <w:sz w:val="22"/>
      <w:lang w:eastAsia="el-GR"/>
    </w:rPr>
  </w:style>
  <w:style w:type="character" w:styleId="ListLabel1260" w:customStyle="1">
    <w:name w:val="ListLabel 1260"/>
    <w:qFormat/>
    <w:rPr>
      <w:rFonts w:eastAsia="Tahoma"/>
      <w:i/>
      <w:color w:val="auto"/>
      <w:sz w:val="22"/>
    </w:rPr>
  </w:style>
  <w:style w:type="character" w:styleId="ListLabel1259" w:customStyle="1">
    <w:name w:val="ListLabel 1259"/>
    <w:qFormat/>
    <w:rPr>
      <w:rFonts w:eastAsia="Calibri"/>
      <w:b/>
      <w:sz w:val="22"/>
      <w:lang w:eastAsia="el-GR"/>
    </w:rPr>
  </w:style>
  <w:style w:type="character" w:styleId="ListLabel1258" w:customStyle="1">
    <w:name w:val="ListLabel 1258"/>
    <w:qFormat/>
    <w:rPr>
      <w:rFonts w:eastAsia="Calibri"/>
      <w:b/>
      <w:sz w:val="22"/>
      <w:lang w:eastAsia="en-US"/>
    </w:rPr>
  </w:style>
  <w:style w:type="character" w:styleId="ListLabel1257" w:customStyle="1">
    <w:name w:val="ListLabel 1257"/>
    <w:qFormat/>
    <w:rPr>
      <w:rFonts w:eastAsia="Calibri"/>
      <w:lang w:eastAsia="el-GR"/>
    </w:rPr>
  </w:style>
  <w:style w:type="character" w:styleId="ListLabel1256" w:customStyle="1">
    <w:name w:val="ListLabel 1256"/>
    <w:qFormat/>
    <w:rPr>
      <w:rFonts w:eastAsia="Calibri"/>
    </w:rPr>
  </w:style>
  <w:style w:type="character" w:styleId="ListLabel1255" w:customStyle="1">
    <w:name w:val="ListLabel 1255"/>
    <w:qFormat/>
    <w:rPr>
      <w:rFonts w:eastAsia="Calibri"/>
      <w:b/>
      <w:color w:val="0000FF"/>
      <w:sz w:val="22"/>
      <w:u w:val="single"/>
      <w:lang w:eastAsia="el-GR"/>
    </w:rPr>
  </w:style>
  <w:style w:type="character" w:styleId="ListLabel1254" w:customStyle="1">
    <w:name w:val="ListLabel 1254"/>
    <w:qFormat/>
    <w:rPr>
      <w:rFonts w:eastAsia="Calibri"/>
      <w:b/>
      <w:sz w:val="22"/>
      <w:lang w:eastAsia="en-US"/>
    </w:rPr>
  </w:style>
  <w:style w:type="character" w:styleId="ListLabel1253" w:customStyle="1">
    <w:name w:val="ListLabel 1253"/>
    <w:qFormat/>
    <w:rPr>
      <w:rFonts w:eastAsia="Calibri"/>
      <w:b/>
      <w:sz w:val="22"/>
    </w:rPr>
  </w:style>
  <w:style w:type="character" w:styleId="ListLabel1252" w:customStyle="1">
    <w:name w:val="ListLabel 1252"/>
    <w:qFormat/>
    <w:rPr>
      <w:rFonts w:eastAsia="Calibri"/>
      <w:b/>
      <w:sz w:val="22"/>
      <w:lang w:eastAsia="el-GR"/>
    </w:rPr>
  </w:style>
  <w:style w:type="character" w:styleId="ListLabel1251" w:customStyle="1">
    <w:name w:val="ListLabel 1251"/>
    <w:qFormat/>
    <w:rPr>
      <w:rFonts w:eastAsia="Calibri"/>
      <w:b/>
      <w:sz w:val="22"/>
      <w:lang w:eastAsia="el-GR"/>
    </w:rPr>
  </w:style>
  <w:style w:type="character" w:styleId="ListLabel1250" w:customStyle="1">
    <w:name w:val="ListLabel 1250"/>
    <w:qFormat/>
    <w:rPr>
      <w:rFonts w:eastAsia="Calibri"/>
      <w:b/>
      <w:sz w:val="22"/>
      <w:lang w:eastAsia="el-GR"/>
    </w:rPr>
  </w:style>
  <w:style w:type="character" w:styleId="ListLabel1249" w:customStyle="1">
    <w:name w:val="ListLabel 1249"/>
    <w:qFormat/>
    <w:rPr>
      <w:rFonts w:eastAsia="Calibri"/>
      <w:b/>
      <w:sz w:val="22"/>
      <w:lang w:eastAsia="el-GR"/>
    </w:rPr>
  </w:style>
  <w:style w:type="character" w:styleId="ListLabel1248" w:customStyle="1">
    <w:name w:val="ListLabel 1248"/>
    <w:qFormat/>
    <w:rPr>
      <w:rFonts w:eastAsia="Calibri"/>
      <w:color w:val="0000FF"/>
      <w:sz w:val="22"/>
      <w:u w:val="single"/>
      <w:lang w:eastAsia="el-GR"/>
    </w:rPr>
  </w:style>
  <w:style w:type="character" w:styleId="ListLabel1247" w:customStyle="1">
    <w:name w:val="ListLabel 1247"/>
    <w:qFormat/>
    <w:rPr>
      <w:rFonts w:eastAsia="Calibri"/>
      <w:sz w:val="22"/>
    </w:rPr>
  </w:style>
  <w:style w:type="character" w:styleId="ListLabel1246" w:customStyle="1">
    <w:name w:val="ListLabel 1246"/>
    <w:qFormat/>
    <w:rPr>
      <w:rFonts w:eastAsia="Calibri"/>
      <w:sz w:val="22"/>
      <w:lang w:eastAsia="en-US"/>
    </w:rPr>
  </w:style>
  <w:style w:type="character" w:styleId="ListLabel1245" w:customStyle="1">
    <w:name w:val="ListLabel 1245"/>
    <w:qFormat/>
    <w:rPr>
      <w:rFonts w:eastAsia="Symbol"/>
    </w:rPr>
  </w:style>
  <w:style w:type="character" w:styleId="ListLabel1244" w:customStyle="1">
    <w:name w:val="ListLabel 1244"/>
    <w:qFormat/>
    <w:rPr>
      <w:rFonts w:eastAsia="Symbol"/>
    </w:rPr>
  </w:style>
  <w:style w:type="character" w:styleId="ListLabel1243" w:customStyle="1">
    <w:name w:val="ListLabel 1243"/>
    <w:qFormat/>
    <w:rPr>
      <w:rFonts w:eastAsia="Symbol"/>
    </w:rPr>
  </w:style>
  <w:style w:type="character" w:styleId="ListLabel1242" w:customStyle="1">
    <w:name w:val="ListLabel 1242"/>
    <w:qFormat/>
    <w:rPr>
      <w:rFonts w:eastAsia="Symbol"/>
    </w:rPr>
  </w:style>
  <w:style w:type="character" w:styleId="ListLabel1241" w:customStyle="1">
    <w:name w:val="ListLabel 1241"/>
    <w:qFormat/>
    <w:rPr>
      <w:rFonts w:eastAsia="Symbol"/>
    </w:rPr>
  </w:style>
  <w:style w:type="character" w:styleId="ListLabel1240" w:customStyle="1">
    <w:name w:val="ListLabel 1240"/>
    <w:qFormat/>
    <w:rPr>
      <w:rFonts w:eastAsia="Symbol"/>
    </w:rPr>
  </w:style>
  <w:style w:type="character" w:styleId="ListLabel1239" w:customStyle="1">
    <w:name w:val="ListLabel 1239"/>
    <w:qFormat/>
    <w:rPr>
      <w:rFonts w:eastAsia="Symbol"/>
    </w:rPr>
  </w:style>
  <w:style w:type="character" w:styleId="ListLabel1238" w:customStyle="1">
    <w:name w:val="ListLabel 1238"/>
    <w:qFormat/>
    <w:rPr>
      <w:rFonts w:eastAsia="Symbol"/>
    </w:rPr>
  </w:style>
  <w:style w:type="character" w:styleId="ListLabel1237" w:customStyle="1">
    <w:name w:val="ListLabel 1237"/>
    <w:qFormat/>
    <w:rPr>
      <w:rFonts w:eastAsia="Symbol"/>
    </w:rPr>
  </w:style>
  <w:style w:type="character" w:styleId="ListLabel1236" w:customStyle="1">
    <w:name w:val="ListLabel 1236"/>
    <w:qFormat/>
    <w:rPr>
      <w:rFonts w:eastAsia="Wingdings"/>
    </w:rPr>
  </w:style>
  <w:style w:type="character" w:styleId="ListLabel1235" w:customStyle="1">
    <w:name w:val="ListLabel 1235"/>
    <w:qFormat/>
    <w:rPr>
      <w:rFonts w:eastAsia="Courier New"/>
    </w:rPr>
  </w:style>
  <w:style w:type="character" w:styleId="ListLabel1234" w:customStyle="1">
    <w:name w:val="ListLabel 1234"/>
    <w:qFormat/>
    <w:rPr>
      <w:rFonts w:eastAsia="Symbol"/>
    </w:rPr>
  </w:style>
  <w:style w:type="character" w:styleId="ListLabel1233" w:customStyle="1">
    <w:name w:val="ListLabel 1233"/>
    <w:qFormat/>
    <w:rPr>
      <w:rFonts w:eastAsia="Wingdings"/>
    </w:rPr>
  </w:style>
  <w:style w:type="character" w:styleId="ListLabel1232" w:customStyle="1">
    <w:name w:val="ListLabel 1232"/>
    <w:qFormat/>
    <w:rPr>
      <w:rFonts w:eastAsia="Courier New"/>
    </w:rPr>
  </w:style>
  <w:style w:type="character" w:styleId="ListLabel1231" w:customStyle="1">
    <w:name w:val="ListLabel 1231"/>
    <w:qFormat/>
    <w:rPr>
      <w:rFonts w:eastAsia="Symbol"/>
    </w:rPr>
  </w:style>
  <w:style w:type="character" w:styleId="ListLabel1230" w:customStyle="1">
    <w:name w:val="ListLabel 1230"/>
    <w:qFormat/>
    <w:rPr>
      <w:rFonts w:eastAsia="Wingdings"/>
    </w:rPr>
  </w:style>
  <w:style w:type="character" w:styleId="ListLabel1229" w:customStyle="1">
    <w:name w:val="ListLabel 1229"/>
    <w:qFormat/>
    <w:rPr>
      <w:rFonts w:eastAsia="Courier New"/>
    </w:rPr>
  </w:style>
  <w:style w:type="character" w:styleId="ListLabel1228" w:customStyle="1">
    <w:name w:val="ListLabel 1228"/>
    <w:qFormat/>
    <w:rPr>
      <w:rFonts w:eastAsia="Wingdings"/>
      <w:b/>
    </w:rPr>
  </w:style>
  <w:style w:type="character" w:styleId="ListLabel1227" w:customStyle="1">
    <w:name w:val="ListLabel 1227"/>
    <w:qFormat/>
    <w:rPr>
      <w:rFonts w:eastAsia="Wingdings"/>
    </w:rPr>
  </w:style>
  <w:style w:type="character" w:styleId="ListLabel1226" w:customStyle="1">
    <w:name w:val="ListLabel 1226"/>
    <w:qFormat/>
    <w:rPr>
      <w:rFonts w:eastAsia="Courier New"/>
    </w:rPr>
  </w:style>
  <w:style w:type="character" w:styleId="ListLabel1225" w:customStyle="1">
    <w:name w:val="ListLabel 1225"/>
    <w:qFormat/>
    <w:rPr>
      <w:rFonts w:eastAsia="Symbol"/>
    </w:rPr>
  </w:style>
  <w:style w:type="character" w:styleId="ListLabel1224" w:customStyle="1">
    <w:name w:val="ListLabel 1224"/>
    <w:qFormat/>
    <w:rPr>
      <w:rFonts w:eastAsia="Wingdings"/>
    </w:rPr>
  </w:style>
  <w:style w:type="character" w:styleId="ListLabel1223" w:customStyle="1">
    <w:name w:val="ListLabel 1223"/>
    <w:qFormat/>
    <w:rPr>
      <w:rFonts w:eastAsia="Courier New"/>
    </w:rPr>
  </w:style>
  <w:style w:type="character" w:styleId="ListLabel1222" w:customStyle="1">
    <w:name w:val="ListLabel 1222"/>
    <w:qFormat/>
    <w:rPr>
      <w:rFonts w:eastAsia="Symbol"/>
    </w:rPr>
  </w:style>
  <w:style w:type="character" w:styleId="ListLabel1221" w:customStyle="1">
    <w:name w:val="ListLabel 1221"/>
    <w:qFormat/>
    <w:rPr>
      <w:rFonts w:eastAsia="Wingdings"/>
    </w:rPr>
  </w:style>
  <w:style w:type="character" w:styleId="ListLabel1220" w:customStyle="1">
    <w:name w:val="ListLabel 1220"/>
    <w:qFormat/>
    <w:rPr>
      <w:rFonts w:eastAsia="Courier New"/>
    </w:rPr>
  </w:style>
  <w:style w:type="character" w:styleId="ListLabel1219" w:customStyle="1">
    <w:name w:val="ListLabel 1219"/>
    <w:qFormat/>
    <w:rPr>
      <w:rFonts w:eastAsia="Wingdings"/>
    </w:rPr>
  </w:style>
  <w:style w:type="character" w:styleId="ListLabel1218" w:customStyle="1">
    <w:name w:val="ListLabel 1218"/>
    <w:qFormat/>
    <w:rPr>
      <w:rFonts w:eastAsia="Calibri"/>
      <w:b w:val="false"/>
      <w:i/>
      <w:sz w:val="22"/>
    </w:rPr>
  </w:style>
  <w:style w:type="character" w:styleId="ListLabel1217" w:customStyle="1">
    <w:name w:val="ListLabel 1217"/>
    <w:qFormat/>
    <w:rPr>
      <w:rFonts w:eastAsia="Wingdings"/>
    </w:rPr>
  </w:style>
  <w:style w:type="character" w:styleId="ListLabel1216" w:customStyle="1">
    <w:name w:val="ListLabel 1216"/>
    <w:qFormat/>
    <w:rPr>
      <w:rFonts w:eastAsia="Courier New"/>
    </w:rPr>
  </w:style>
  <w:style w:type="character" w:styleId="ListLabel1215" w:customStyle="1">
    <w:name w:val="ListLabel 1215"/>
    <w:qFormat/>
    <w:rPr>
      <w:rFonts w:eastAsia="Symbol"/>
    </w:rPr>
  </w:style>
  <w:style w:type="character" w:styleId="ListLabel1214" w:customStyle="1">
    <w:name w:val="ListLabel 1214"/>
    <w:qFormat/>
    <w:rPr>
      <w:rFonts w:eastAsia="Wingdings"/>
    </w:rPr>
  </w:style>
  <w:style w:type="character" w:styleId="ListLabel1213" w:customStyle="1">
    <w:name w:val="ListLabel 1213"/>
    <w:qFormat/>
    <w:rPr>
      <w:rFonts w:eastAsia="Courier New"/>
    </w:rPr>
  </w:style>
  <w:style w:type="character" w:styleId="ListLabel1212" w:customStyle="1">
    <w:name w:val="ListLabel 1212"/>
    <w:qFormat/>
    <w:rPr>
      <w:rFonts w:eastAsia="Symbol"/>
    </w:rPr>
  </w:style>
  <w:style w:type="character" w:styleId="ListLabel1211" w:customStyle="1">
    <w:name w:val="ListLabel 1211"/>
    <w:qFormat/>
    <w:rPr>
      <w:rFonts w:eastAsia="Wingdings"/>
    </w:rPr>
  </w:style>
  <w:style w:type="character" w:styleId="ListLabel1210" w:customStyle="1">
    <w:name w:val="ListLabel 1210"/>
    <w:qFormat/>
    <w:rPr>
      <w:rFonts w:eastAsia="Courier New"/>
    </w:rPr>
  </w:style>
  <w:style w:type="character" w:styleId="ListLabel1209" w:customStyle="1">
    <w:name w:val="ListLabel 1209"/>
    <w:qFormat/>
    <w:rPr>
      <w:rFonts w:eastAsia="Symbol"/>
    </w:rPr>
  </w:style>
  <w:style w:type="character" w:styleId="ListLabel1208" w:customStyle="1">
    <w:name w:val="ListLabel 1208"/>
    <w:qFormat/>
    <w:rPr>
      <w:rFonts w:eastAsia="Symbol"/>
      <w:b/>
      <w:lang w:eastAsia="el-GR"/>
    </w:rPr>
  </w:style>
  <w:style w:type="character" w:styleId="ListLabel1207" w:customStyle="1">
    <w:name w:val="ListLabel 1207"/>
    <w:qFormat/>
    <w:rPr>
      <w:rFonts w:eastAsia="Wingdings"/>
    </w:rPr>
  </w:style>
  <w:style w:type="character" w:styleId="ListLabel1206" w:customStyle="1">
    <w:name w:val="ListLabel 1206"/>
    <w:qFormat/>
    <w:rPr>
      <w:rFonts w:eastAsia="Courier New"/>
    </w:rPr>
  </w:style>
  <w:style w:type="character" w:styleId="ListLabel1205" w:customStyle="1">
    <w:name w:val="ListLabel 1205"/>
    <w:qFormat/>
    <w:rPr>
      <w:rFonts w:eastAsia="Symbol"/>
    </w:rPr>
  </w:style>
  <w:style w:type="character" w:styleId="ListLabel1204" w:customStyle="1">
    <w:name w:val="ListLabel 1204"/>
    <w:qFormat/>
    <w:rPr>
      <w:rFonts w:eastAsia="Wingdings"/>
    </w:rPr>
  </w:style>
  <w:style w:type="character" w:styleId="ListLabel1203" w:customStyle="1">
    <w:name w:val="ListLabel 1203"/>
    <w:qFormat/>
    <w:rPr>
      <w:rFonts w:eastAsia="Courier New"/>
    </w:rPr>
  </w:style>
  <w:style w:type="character" w:styleId="ListLabel1202" w:customStyle="1">
    <w:name w:val="ListLabel 1202"/>
    <w:qFormat/>
    <w:rPr>
      <w:rFonts w:eastAsia="Symbol"/>
    </w:rPr>
  </w:style>
  <w:style w:type="character" w:styleId="ListLabel1201" w:customStyle="1">
    <w:name w:val="ListLabel 1201"/>
    <w:qFormat/>
    <w:rPr>
      <w:rFonts w:eastAsia="Wingdings"/>
    </w:rPr>
  </w:style>
  <w:style w:type="character" w:styleId="ListLabel1200" w:customStyle="1">
    <w:name w:val="ListLabel 1200"/>
    <w:qFormat/>
    <w:rPr>
      <w:rFonts w:eastAsia="Courier New"/>
    </w:rPr>
  </w:style>
  <w:style w:type="character" w:styleId="ListLabel1199" w:customStyle="1">
    <w:name w:val="ListLabel 1199"/>
    <w:qFormat/>
    <w:rPr>
      <w:rFonts w:eastAsia="Symbol"/>
    </w:rPr>
  </w:style>
  <w:style w:type="character" w:styleId="ListLabel1198" w:customStyle="1">
    <w:name w:val="ListLabel 1198"/>
    <w:qFormat/>
    <w:rPr>
      <w:rFonts w:eastAsia="Times New Roman"/>
    </w:rPr>
  </w:style>
  <w:style w:type="character" w:styleId="ListLabel1197" w:customStyle="1">
    <w:name w:val="ListLabel 1197"/>
    <w:qFormat/>
    <w:rPr>
      <w:rFonts w:eastAsia="Times New Roman"/>
    </w:rPr>
  </w:style>
  <w:style w:type="character" w:styleId="ListLabel1196" w:customStyle="1">
    <w:name w:val="ListLabel 1196"/>
    <w:qFormat/>
    <w:rPr>
      <w:rFonts w:eastAsia="Times New Roman"/>
    </w:rPr>
  </w:style>
  <w:style w:type="character" w:styleId="ListLabel1195" w:customStyle="1">
    <w:name w:val="ListLabel 1195"/>
    <w:qFormat/>
    <w:rPr>
      <w:rFonts w:eastAsia="Times New Roman"/>
    </w:rPr>
  </w:style>
  <w:style w:type="character" w:styleId="ListLabel1194" w:customStyle="1">
    <w:name w:val="ListLabel 1194"/>
    <w:qFormat/>
    <w:rPr>
      <w:rFonts w:eastAsia="Times New Roman"/>
    </w:rPr>
  </w:style>
  <w:style w:type="character" w:styleId="ListLabel1193" w:customStyle="1">
    <w:name w:val="ListLabel 1193"/>
    <w:qFormat/>
    <w:rPr>
      <w:rFonts w:eastAsia="Times New Roman"/>
    </w:rPr>
  </w:style>
  <w:style w:type="character" w:styleId="ListLabel1192" w:customStyle="1">
    <w:name w:val="ListLabel 1192"/>
    <w:qFormat/>
    <w:rPr>
      <w:rFonts w:eastAsia="Times New Roman"/>
    </w:rPr>
  </w:style>
  <w:style w:type="character" w:styleId="ListLabel1191" w:customStyle="1">
    <w:name w:val="ListLabel 1191"/>
    <w:qFormat/>
    <w:rPr>
      <w:rFonts w:eastAsia="Times New Roman"/>
    </w:rPr>
  </w:style>
  <w:style w:type="character" w:styleId="ListLabel1190" w:customStyle="1">
    <w:name w:val="ListLabel 1190"/>
    <w:qFormat/>
    <w:rPr>
      <w:rFonts w:ascii="Calibri" w:hAnsi="Calibri" w:eastAsia="Times New Roman"/>
    </w:rPr>
  </w:style>
  <w:style w:type="character" w:styleId="ListLabel1189" w:customStyle="1">
    <w:name w:val="ListLabel 1189"/>
    <w:qFormat/>
    <w:rPr>
      <w:rFonts w:eastAsia="Wingdings"/>
    </w:rPr>
  </w:style>
  <w:style w:type="character" w:styleId="ListLabel1188" w:customStyle="1">
    <w:name w:val="ListLabel 1188"/>
    <w:qFormat/>
    <w:rPr>
      <w:rFonts w:eastAsia="Courier New"/>
    </w:rPr>
  </w:style>
  <w:style w:type="character" w:styleId="ListLabel1187" w:customStyle="1">
    <w:name w:val="ListLabel 1187"/>
    <w:qFormat/>
    <w:rPr>
      <w:rFonts w:eastAsia="Symbol"/>
    </w:rPr>
  </w:style>
  <w:style w:type="character" w:styleId="ListLabel1186" w:customStyle="1">
    <w:name w:val="ListLabel 1186"/>
    <w:qFormat/>
    <w:rPr>
      <w:rFonts w:eastAsia="Wingdings"/>
    </w:rPr>
  </w:style>
  <w:style w:type="character" w:styleId="ListLabel1185" w:customStyle="1">
    <w:name w:val="ListLabel 1185"/>
    <w:qFormat/>
    <w:rPr>
      <w:rFonts w:eastAsia="Courier New"/>
    </w:rPr>
  </w:style>
  <w:style w:type="character" w:styleId="ListLabel1184" w:customStyle="1">
    <w:name w:val="ListLabel 1184"/>
    <w:qFormat/>
    <w:rPr>
      <w:rFonts w:eastAsia="Symbol"/>
    </w:rPr>
  </w:style>
  <w:style w:type="character" w:styleId="ListLabel1183" w:customStyle="1">
    <w:name w:val="ListLabel 1183"/>
    <w:qFormat/>
    <w:rPr>
      <w:rFonts w:eastAsia="Wingdings"/>
    </w:rPr>
  </w:style>
  <w:style w:type="character" w:styleId="ListLabel1182" w:customStyle="1">
    <w:name w:val="ListLabel 1182"/>
    <w:qFormat/>
    <w:rPr>
      <w:rFonts w:eastAsia="Courier New"/>
    </w:rPr>
  </w:style>
  <w:style w:type="character" w:styleId="ListLabel1181" w:customStyle="1">
    <w:name w:val="ListLabel 1181"/>
    <w:qFormat/>
    <w:rPr>
      <w:rFonts w:eastAsia="Wingdings"/>
      <w:color w:val="auto"/>
    </w:rPr>
  </w:style>
  <w:style w:type="character" w:styleId="ListLabel1180" w:customStyle="1">
    <w:name w:val="ListLabel 1180"/>
    <w:qFormat/>
    <w:rPr>
      <w:rFonts w:eastAsia="Times New Roman"/>
    </w:rPr>
  </w:style>
  <w:style w:type="character" w:styleId="ListLabel1179" w:customStyle="1">
    <w:name w:val="ListLabel 1179"/>
    <w:qFormat/>
    <w:rPr>
      <w:rFonts w:eastAsia="Times New Roman"/>
    </w:rPr>
  </w:style>
  <w:style w:type="character" w:styleId="ListLabel1178" w:customStyle="1">
    <w:name w:val="ListLabel 1178"/>
    <w:qFormat/>
    <w:rPr>
      <w:rFonts w:eastAsia="Times New Roman"/>
    </w:rPr>
  </w:style>
  <w:style w:type="character" w:styleId="ListLabel1177" w:customStyle="1">
    <w:name w:val="ListLabel 1177"/>
    <w:qFormat/>
    <w:rPr>
      <w:rFonts w:eastAsia="Times New Roman"/>
    </w:rPr>
  </w:style>
  <w:style w:type="character" w:styleId="ListLabel1176" w:customStyle="1">
    <w:name w:val="ListLabel 1176"/>
    <w:qFormat/>
    <w:rPr>
      <w:rFonts w:eastAsia="Times New Roman"/>
    </w:rPr>
  </w:style>
  <w:style w:type="character" w:styleId="ListLabel1175" w:customStyle="1">
    <w:name w:val="ListLabel 1175"/>
    <w:qFormat/>
    <w:rPr>
      <w:rFonts w:eastAsia="Times New Roman"/>
    </w:rPr>
  </w:style>
  <w:style w:type="character" w:styleId="ListLabel1174" w:customStyle="1">
    <w:name w:val="ListLabel 1174"/>
    <w:qFormat/>
    <w:rPr>
      <w:rFonts w:eastAsia="Times New Roman"/>
    </w:rPr>
  </w:style>
  <w:style w:type="character" w:styleId="ListLabel1173" w:customStyle="1">
    <w:name w:val="ListLabel 1173"/>
    <w:qFormat/>
    <w:rPr>
      <w:rFonts w:eastAsia="Times New Roman"/>
    </w:rPr>
  </w:style>
  <w:style w:type="character" w:styleId="ListLabel1172" w:customStyle="1">
    <w:name w:val="ListLabel 1172"/>
    <w:qFormat/>
    <w:rPr>
      <w:rFonts w:eastAsia="Times New Roman"/>
      <w:sz w:val="16"/>
    </w:rPr>
  </w:style>
  <w:style w:type="character" w:styleId="ListLabel1171" w:customStyle="1">
    <w:name w:val="ListLabel 1171"/>
    <w:qFormat/>
    <w:rPr>
      <w:rFonts w:eastAsia="Times New Roman"/>
      <w:sz w:val="22"/>
    </w:rPr>
  </w:style>
  <w:style w:type="character" w:styleId="ListLabel1170" w:customStyle="1">
    <w:name w:val="ListLabel 1170"/>
    <w:qFormat/>
    <w:rPr>
      <w:rFonts w:eastAsia="Tahoma"/>
      <w:sz w:val="22"/>
      <w:lang w:eastAsia="el-GR"/>
    </w:rPr>
  </w:style>
  <w:style w:type="character" w:styleId="ListLabel1169" w:customStyle="1">
    <w:name w:val="ListLabel 1169"/>
    <w:qFormat/>
    <w:rPr>
      <w:rFonts w:eastAsia="Tahoma"/>
      <w:sz w:val="22"/>
      <w:lang w:eastAsia="en-US"/>
    </w:rPr>
  </w:style>
  <w:style w:type="character" w:styleId="ListLabel1168" w:customStyle="1">
    <w:name w:val="ListLabel 1168"/>
    <w:qFormat/>
    <w:rPr>
      <w:rFonts w:eastAsia="Calibri"/>
    </w:rPr>
  </w:style>
  <w:style w:type="character" w:styleId="ListLabel1167" w:customStyle="1">
    <w:name w:val="ListLabel 1167"/>
    <w:qFormat/>
    <w:rPr>
      <w:rFonts w:ascii="Calibri" w:hAnsi="Calibri" w:eastAsia="Calibri"/>
      <w:sz w:val="22"/>
    </w:rPr>
  </w:style>
  <w:style w:type="character" w:styleId="ListLabel1166" w:customStyle="1">
    <w:name w:val="ListLabel 1166"/>
    <w:qFormat/>
    <w:rPr>
      <w:rFonts w:eastAsia="Tahoma"/>
      <w:color w:val="auto"/>
      <w:sz w:val="22"/>
      <w:lang w:eastAsia="el-GR"/>
    </w:rPr>
  </w:style>
  <w:style w:type="character" w:styleId="ListLabel1165" w:customStyle="1">
    <w:name w:val="ListLabel 1165"/>
    <w:qFormat/>
    <w:rPr>
      <w:rFonts w:eastAsia="Tahoma"/>
      <w:i/>
      <w:color w:val="auto"/>
      <w:sz w:val="22"/>
    </w:rPr>
  </w:style>
  <w:style w:type="character" w:styleId="ListLabel1164" w:customStyle="1">
    <w:name w:val="ListLabel 1164"/>
    <w:qFormat/>
    <w:rPr>
      <w:rFonts w:eastAsia="Calibri"/>
      <w:b/>
      <w:sz w:val="22"/>
      <w:lang w:eastAsia="el-GR"/>
    </w:rPr>
  </w:style>
  <w:style w:type="character" w:styleId="ListLabel1163" w:customStyle="1">
    <w:name w:val="ListLabel 1163"/>
    <w:qFormat/>
    <w:rPr>
      <w:rFonts w:eastAsia="Calibri"/>
      <w:b/>
      <w:sz w:val="22"/>
      <w:lang w:eastAsia="en-US"/>
    </w:rPr>
  </w:style>
  <w:style w:type="character" w:styleId="ListLabel1162" w:customStyle="1">
    <w:name w:val="ListLabel 1162"/>
    <w:qFormat/>
    <w:rPr>
      <w:rFonts w:eastAsia="Calibri"/>
      <w:lang w:eastAsia="el-GR"/>
    </w:rPr>
  </w:style>
  <w:style w:type="character" w:styleId="ListLabel1161" w:customStyle="1">
    <w:name w:val="ListLabel 1161"/>
    <w:qFormat/>
    <w:rPr>
      <w:rFonts w:eastAsia="Calibri"/>
    </w:rPr>
  </w:style>
  <w:style w:type="character" w:styleId="ListLabel1160" w:customStyle="1">
    <w:name w:val="ListLabel 1160"/>
    <w:qFormat/>
    <w:rPr>
      <w:rFonts w:eastAsia="Calibri"/>
      <w:b/>
      <w:color w:val="0000FF"/>
      <w:sz w:val="22"/>
      <w:u w:val="single"/>
      <w:lang w:eastAsia="el-GR"/>
    </w:rPr>
  </w:style>
  <w:style w:type="character" w:styleId="ListLabel1159" w:customStyle="1">
    <w:name w:val="ListLabel 1159"/>
    <w:qFormat/>
    <w:rPr>
      <w:rFonts w:eastAsia="Calibri"/>
      <w:b/>
      <w:sz w:val="22"/>
      <w:lang w:eastAsia="en-US"/>
    </w:rPr>
  </w:style>
  <w:style w:type="character" w:styleId="ListLabel1158" w:customStyle="1">
    <w:name w:val="ListLabel 1158"/>
    <w:qFormat/>
    <w:rPr>
      <w:rFonts w:eastAsia="Calibri"/>
      <w:b/>
      <w:sz w:val="22"/>
    </w:rPr>
  </w:style>
  <w:style w:type="character" w:styleId="ListLabel1157" w:customStyle="1">
    <w:name w:val="ListLabel 1157"/>
    <w:qFormat/>
    <w:rPr>
      <w:rFonts w:eastAsia="Calibri"/>
      <w:b/>
      <w:sz w:val="22"/>
      <w:lang w:eastAsia="el-GR"/>
    </w:rPr>
  </w:style>
  <w:style w:type="character" w:styleId="ListLabel1156" w:customStyle="1">
    <w:name w:val="ListLabel 1156"/>
    <w:qFormat/>
    <w:rPr>
      <w:rFonts w:eastAsia="Calibri"/>
      <w:b/>
      <w:sz w:val="22"/>
      <w:lang w:eastAsia="el-GR"/>
    </w:rPr>
  </w:style>
  <w:style w:type="character" w:styleId="ListLabel1155" w:customStyle="1">
    <w:name w:val="ListLabel 1155"/>
    <w:qFormat/>
    <w:rPr>
      <w:rFonts w:eastAsia="Calibri"/>
      <w:b/>
      <w:sz w:val="22"/>
      <w:lang w:eastAsia="el-GR"/>
    </w:rPr>
  </w:style>
  <w:style w:type="character" w:styleId="ListLabel1154" w:customStyle="1">
    <w:name w:val="ListLabel 1154"/>
    <w:qFormat/>
    <w:rPr>
      <w:rFonts w:eastAsia="Calibri"/>
      <w:b/>
      <w:sz w:val="22"/>
      <w:lang w:eastAsia="el-GR"/>
    </w:rPr>
  </w:style>
  <w:style w:type="character" w:styleId="ListLabel1153" w:customStyle="1">
    <w:name w:val="ListLabel 1153"/>
    <w:qFormat/>
    <w:rPr>
      <w:rFonts w:eastAsia="Calibri"/>
      <w:color w:val="0000FF"/>
      <w:sz w:val="22"/>
      <w:u w:val="single"/>
      <w:lang w:eastAsia="el-GR"/>
    </w:rPr>
  </w:style>
  <w:style w:type="character" w:styleId="ListLabel1152" w:customStyle="1">
    <w:name w:val="ListLabel 1152"/>
    <w:qFormat/>
    <w:rPr>
      <w:rFonts w:eastAsia="Calibri"/>
      <w:sz w:val="22"/>
    </w:rPr>
  </w:style>
  <w:style w:type="character" w:styleId="ListLabel1151" w:customStyle="1">
    <w:name w:val="ListLabel 1151"/>
    <w:qFormat/>
    <w:rPr>
      <w:rFonts w:eastAsia="Calibri"/>
      <w:sz w:val="22"/>
      <w:lang w:eastAsia="en-US"/>
    </w:rPr>
  </w:style>
  <w:style w:type="character" w:styleId="ListLabel1150" w:customStyle="1">
    <w:name w:val="ListLabel 1150"/>
    <w:qFormat/>
    <w:rPr>
      <w:rFonts w:eastAsia="Symbol"/>
    </w:rPr>
  </w:style>
  <w:style w:type="character" w:styleId="ListLabel1149" w:customStyle="1">
    <w:name w:val="ListLabel 1149"/>
    <w:qFormat/>
    <w:rPr>
      <w:rFonts w:eastAsia="Symbol"/>
    </w:rPr>
  </w:style>
  <w:style w:type="character" w:styleId="ListLabel1148" w:customStyle="1">
    <w:name w:val="ListLabel 1148"/>
    <w:qFormat/>
    <w:rPr>
      <w:rFonts w:eastAsia="Symbol"/>
    </w:rPr>
  </w:style>
  <w:style w:type="character" w:styleId="ListLabel1147" w:customStyle="1">
    <w:name w:val="ListLabel 1147"/>
    <w:qFormat/>
    <w:rPr>
      <w:rFonts w:eastAsia="Symbol"/>
    </w:rPr>
  </w:style>
  <w:style w:type="character" w:styleId="ListLabel1146" w:customStyle="1">
    <w:name w:val="ListLabel 1146"/>
    <w:qFormat/>
    <w:rPr>
      <w:rFonts w:eastAsia="Symbol"/>
    </w:rPr>
  </w:style>
  <w:style w:type="character" w:styleId="ListLabel1145" w:customStyle="1">
    <w:name w:val="ListLabel 1145"/>
    <w:qFormat/>
    <w:rPr>
      <w:rFonts w:eastAsia="Symbol"/>
    </w:rPr>
  </w:style>
  <w:style w:type="character" w:styleId="ListLabel1144" w:customStyle="1">
    <w:name w:val="ListLabel 1144"/>
    <w:qFormat/>
    <w:rPr>
      <w:rFonts w:eastAsia="Symbol"/>
    </w:rPr>
  </w:style>
  <w:style w:type="character" w:styleId="ListLabel1143" w:customStyle="1">
    <w:name w:val="ListLabel 1143"/>
    <w:qFormat/>
    <w:rPr>
      <w:rFonts w:eastAsia="Symbol"/>
    </w:rPr>
  </w:style>
  <w:style w:type="character" w:styleId="ListLabel1142" w:customStyle="1">
    <w:name w:val="ListLabel 1142"/>
    <w:qFormat/>
    <w:rPr>
      <w:rFonts w:eastAsia="Symbol"/>
    </w:rPr>
  </w:style>
  <w:style w:type="character" w:styleId="ListLabel1141" w:customStyle="1">
    <w:name w:val="ListLabel 1141"/>
    <w:qFormat/>
    <w:rPr>
      <w:rFonts w:eastAsia="Wingdings"/>
    </w:rPr>
  </w:style>
  <w:style w:type="character" w:styleId="ListLabel1140" w:customStyle="1">
    <w:name w:val="ListLabel 1140"/>
    <w:qFormat/>
    <w:rPr>
      <w:rFonts w:eastAsia="Courier New"/>
    </w:rPr>
  </w:style>
  <w:style w:type="character" w:styleId="ListLabel1139" w:customStyle="1">
    <w:name w:val="ListLabel 1139"/>
    <w:qFormat/>
    <w:rPr>
      <w:rFonts w:eastAsia="Symbol"/>
    </w:rPr>
  </w:style>
  <w:style w:type="character" w:styleId="ListLabel1138" w:customStyle="1">
    <w:name w:val="ListLabel 1138"/>
    <w:qFormat/>
    <w:rPr>
      <w:rFonts w:eastAsia="Wingdings"/>
    </w:rPr>
  </w:style>
  <w:style w:type="character" w:styleId="ListLabel1137" w:customStyle="1">
    <w:name w:val="ListLabel 1137"/>
    <w:qFormat/>
    <w:rPr>
      <w:rFonts w:eastAsia="Courier New"/>
    </w:rPr>
  </w:style>
  <w:style w:type="character" w:styleId="ListLabel1136" w:customStyle="1">
    <w:name w:val="ListLabel 1136"/>
    <w:qFormat/>
    <w:rPr>
      <w:rFonts w:eastAsia="Symbol"/>
    </w:rPr>
  </w:style>
  <w:style w:type="character" w:styleId="ListLabel1135" w:customStyle="1">
    <w:name w:val="ListLabel 1135"/>
    <w:qFormat/>
    <w:rPr>
      <w:rFonts w:eastAsia="Wingdings"/>
    </w:rPr>
  </w:style>
  <w:style w:type="character" w:styleId="ListLabel1134" w:customStyle="1">
    <w:name w:val="ListLabel 1134"/>
    <w:qFormat/>
    <w:rPr>
      <w:rFonts w:eastAsia="Courier New"/>
    </w:rPr>
  </w:style>
  <w:style w:type="character" w:styleId="ListLabel1133" w:customStyle="1">
    <w:name w:val="ListLabel 1133"/>
    <w:qFormat/>
    <w:rPr>
      <w:rFonts w:eastAsia="Wingdings"/>
      <w:b/>
    </w:rPr>
  </w:style>
  <w:style w:type="character" w:styleId="ListLabel1132" w:customStyle="1">
    <w:name w:val="ListLabel 1132"/>
    <w:qFormat/>
    <w:rPr>
      <w:rFonts w:eastAsia="Wingdings"/>
    </w:rPr>
  </w:style>
  <w:style w:type="character" w:styleId="ListLabel1131" w:customStyle="1">
    <w:name w:val="ListLabel 1131"/>
    <w:qFormat/>
    <w:rPr>
      <w:rFonts w:eastAsia="Courier New"/>
    </w:rPr>
  </w:style>
  <w:style w:type="character" w:styleId="ListLabel1130" w:customStyle="1">
    <w:name w:val="ListLabel 1130"/>
    <w:qFormat/>
    <w:rPr>
      <w:rFonts w:eastAsia="Symbol"/>
    </w:rPr>
  </w:style>
  <w:style w:type="character" w:styleId="ListLabel1129" w:customStyle="1">
    <w:name w:val="ListLabel 1129"/>
    <w:qFormat/>
    <w:rPr>
      <w:rFonts w:eastAsia="Wingdings"/>
    </w:rPr>
  </w:style>
  <w:style w:type="character" w:styleId="ListLabel1128" w:customStyle="1">
    <w:name w:val="ListLabel 1128"/>
    <w:qFormat/>
    <w:rPr>
      <w:rFonts w:eastAsia="Courier New"/>
    </w:rPr>
  </w:style>
  <w:style w:type="character" w:styleId="ListLabel1127" w:customStyle="1">
    <w:name w:val="ListLabel 1127"/>
    <w:qFormat/>
    <w:rPr>
      <w:rFonts w:eastAsia="Symbol"/>
    </w:rPr>
  </w:style>
  <w:style w:type="character" w:styleId="ListLabel1126" w:customStyle="1">
    <w:name w:val="ListLabel 1126"/>
    <w:qFormat/>
    <w:rPr>
      <w:rFonts w:eastAsia="Wingdings"/>
    </w:rPr>
  </w:style>
  <w:style w:type="character" w:styleId="ListLabel1125" w:customStyle="1">
    <w:name w:val="ListLabel 1125"/>
    <w:qFormat/>
    <w:rPr>
      <w:rFonts w:eastAsia="Courier New"/>
    </w:rPr>
  </w:style>
  <w:style w:type="character" w:styleId="ListLabel1124" w:customStyle="1">
    <w:name w:val="ListLabel 1124"/>
    <w:qFormat/>
    <w:rPr>
      <w:rFonts w:eastAsia="Wingdings"/>
    </w:rPr>
  </w:style>
  <w:style w:type="character" w:styleId="ListLabel1123" w:customStyle="1">
    <w:name w:val="ListLabel 1123"/>
    <w:qFormat/>
    <w:rPr>
      <w:rFonts w:eastAsia="Calibri"/>
      <w:b w:val="false"/>
      <w:i/>
      <w:sz w:val="22"/>
    </w:rPr>
  </w:style>
  <w:style w:type="character" w:styleId="ListLabel1122" w:customStyle="1">
    <w:name w:val="ListLabel 1122"/>
    <w:qFormat/>
    <w:rPr>
      <w:rFonts w:eastAsia="Wingdings"/>
    </w:rPr>
  </w:style>
  <w:style w:type="character" w:styleId="ListLabel1121" w:customStyle="1">
    <w:name w:val="ListLabel 1121"/>
    <w:qFormat/>
    <w:rPr>
      <w:rFonts w:eastAsia="Courier New"/>
    </w:rPr>
  </w:style>
  <w:style w:type="character" w:styleId="ListLabel1120" w:customStyle="1">
    <w:name w:val="ListLabel 1120"/>
    <w:qFormat/>
    <w:rPr>
      <w:rFonts w:eastAsia="Symbol"/>
    </w:rPr>
  </w:style>
  <w:style w:type="character" w:styleId="ListLabel1119" w:customStyle="1">
    <w:name w:val="ListLabel 1119"/>
    <w:qFormat/>
    <w:rPr>
      <w:rFonts w:eastAsia="Wingdings"/>
    </w:rPr>
  </w:style>
  <w:style w:type="character" w:styleId="ListLabel1118" w:customStyle="1">
    <w:name w:val="ListLabel 1118"/>
    <w:qFormat/>
    <w:rPr>
      <w:rFonts w:eastAsia="Courier New"/>
    </w:rPr>
  </w:style>
  <w:style w:type="character" w:styleId="ListLabel1117" w:customStyle="1">
    <w:name w:val="ListLabel 1117"/>
    <w:qFormat/>
    <w:rPr>
      <w:rFonts w:eastAsia="Symbol"/>
    </w:rPr>
  </w:style>
  <w:style w:type="character" w:styleId="ListLabel1116" w:customStyle="1">
    <w:name w:val="ListLabel 1116"/>
    <w:qFormat/>
    <w:rPr>
      <w:rFonts w:eastAsia="Wingdings"/>
    </w:rPr>
  </w:style>
  <w:style w:type="character" w:styleId="ListLabel1115" w:customStyle="1">
    <w:name w:val="ListLabel 1115"/>
    <w:qFormat/>
    <w:rPr>
      <w:rFonts w:eastAsia="Courier New"/>
    </w:rPr>
  </w:style>
  <w:style w:type="character" w:styleId="ListLabel1114" w:customStyle="1">
    <w:name w:val="ListLabel 1114"/>
    <w:qFormat/>
    <w:rPr>
      <w:rFonts w:eastAsia="Symbol"/>
    </w:rPr>
  </w:style>
  <w:style w:type="character" w:styleId="ListLabel1113" w:customStyle="1">
    <w:name w:val="ListLabel 1113"/>
    <w:qFormat/>
    <w:rPr>
      <w:rFonts w:eastAsia="Symbol"/>
      <w:b/>
      <w:lang w:eastAsia="el-GR"/>
    </w:rPr>
  </w:style>
  <w:style w:type="character" w:styleId="ListLabel1112" w:customStyle="1">
    <w:name w:val="ListLabel 1112"/>
    <w:qFormat/>
    <w:rPr>
      <w:rFonts w:eastAsia="Wingdings"/>
    </w:rPr>
  </w:style>
  <w:style w:type="character" w:styleId="ListLabel1111" w:customStyle="1">
    <w:name w:val="ListLabel 1111"/>
    <w:qFormat/>
    <w:rPr>
      <w:rFonts w:eastAsia="Courier New"/>
    </w:rPr>
  </w:style>
  <w:style w:type="character" w:styleId="ListLabel1110" w:customStyle="1">
    <w:name w:val="ListLabel 1110"/>
    <w:qFormat/>
    <w:rPr>
      <w:rFonts w:eastAsia="Symbol"/>
    </w:rPr>
  </w:style>
  <w:style w:type="character" w:styleId="ListLabel1109" w:customStyle="1">
    <w:name w:val="ListLabel 1109"/>
    <w:qFormat/>
    <w:rPr>
      <w:rFonts w:eastAsia="Wingdings"/>
    </w:rPr>
  </w:style>
  <w:style w:type="character" w:styleId="ListLabel1108" w:customStyle="1">
    <w:name w:val="ListLabel 1108"/>
    <w:qFormat/>
    <w:rPr>
      <w:rFonts w:eastAsia="Courier New"/>
    </w:rPr>
  </w:style>
  <w:style w:type="character" w:styleId="ListLabel1107" w:customStyle="1">
    <w:name w:val="ListLabel 1107"/>
    <w:qFormat/>
    <w:rPr>
      <w:rFonts w:eastAsia="Symbol"/>
    </w:rPr>
  </w:style>
  <w:style w:type="character" w:styleId="ListLabel1106" w:customStyle="1">
    <w:name w:val="ListLabel 1106"/>
    <w:qFormat/>
    <w:rPr>
      <w:rFonts w:eastAsia="Wingdings"/>
    </w:rPr>
  </w:style>
  <w:style w:type="character" w:styleId="ListLabel1105" w:customStyle="1">
    <w:name w:val="ListLabel 1105"/>
    <w:qFormat/>
    <w:rPr>
      <w:rFonts w:eastAsia="Courier New"/>
    </w:rPr>
  </w:style>
  <w:style w:type="character" w:styleId="ListLabel1104" w:customStyle="1">
    <w:name w:val="ListLabel 1104"/>
    <w:qFormat/>
    <w:rPr>
      <w:rFonts w:eastAsia="Symbol"/>
    </w:rPr>
  </w:style>
  <w:style w:type="character" w:styleId="ListLabel1103" w:customStyle="1">
    <w:name w:val="ListLabel 1103"/>
    <w:qFormat/>
    <w:rPr>
      <w:rFonts w:eastAsia="Times New Roman"/>
    </w:rPr>
  </w:style>
  <w:style w:type="character" w:styleId="ListLabel1102" w:customStyle="1">
    <w:name w:val="ListLabel 1102"/>
    <w:qFormat/>
    <w:rPr>
      <w:rFonts w:eastAsia="Times New Roman"/>
    </w:rPr>
  </w:style>
  <w:style w:type="character" w:styleId="ListLabel1101" w:customStyle="1">
    <w:name w:val="ListLabel 1101"/>
    <w:qFormat/>
    <w:rPr>
      <w:rFonts w:eastAsia="Times New Roman"/>
    </w:rPr>
  </w:style>
  <w:style w:type="character" w:styleId="ListLabel1100" w:customStyle="1">
    <w:name w:val="ListLabel 1100"/>
    <w:qFormat/>
    <w:rPr>
      <w:rFonts w:eastAsia="Times New Roman"/>
    </w:rPr>
  </w:style>
  <w:style w:type="character" w:styleId="ListLabel1099" w:customStyle="1">
    <w:name w:val="ListLabel 1099"/>
    <w:qFormat/>
    <w:rPr>
      <w:rFonts w:eastAsia="Times New Roman"/>
    </w:rPr>
  </w:style>
  <w:style w:type="character" w:styleId="ListLabel1098" w:customStyle="1">
    <w:name w:val="ListLabel 1098"/>
    <w:qFormat/>
    <w:rPr>
      <w:rFonts w:eastAsia="Times New Roman"/>
    </w:rPr>
  </w:style>
  <w:style w:type="character" w:styleId="ListLabel1097" w:customStyle="1">
    <w:name w:val="ListLabel 1097"/>
    <w:qFormat/>
    <w:rPr>
      <w:rFonts w:eastAsia="Times New Roman"/>
    </w:rPr>
  </w:style>
  <w:style w:type="character" w:styleId="ListLabel1096" w:customStyle="1">
    <w:name w:val="ListLabel 1096"/>
    <w:qFormat/>
    <w:rPr>
      <w:rFonts w:eastAsia="Times New Roman"/>
    </w:rPr>
  </w:style>
  <w:style w:type="character" w:styleId="ListLabel1095" w:customStyle="1">
    <w:name w:val="ListLabel 1095"/>
    <w:qFormat/>
    <w:rPr>
      <w:rFonts w:ascii="Calibri" w:hAnsi="Calibri" w:eastAsia="Times New Roman"/>
    </w:rPr>
  </w:style>
  <w:style w:type="character" w:styleId="ListLabel1094" w:customStyle="1">
    <w:name w:val="ListLabel 1094"/>
    <w:qFormat/>
    <w:rPr>
      <w:rFonts w:eastAsia="Wingdings"/>
    </w:rPr>
  </w:style>
  <w:style w:type="character" w:styleId="ListLabel1093" w:customStyle="1">
    <w:name w:val="ListLabel 1093"/>
    <w:qFormat/>
    <w:rPr>
      <w:rFonts w:eastAsia="Courier New"/>
    </w:rPr>
  </w:style>
  <w:style w:type="character" w:styleId="ListLabel1092" w:customStyle="1">
    <w:name w:val="ListLabel 1092"/>
    <w:qFormat/>
    <w:rPr>
      <w:rFonts w:eastAsia="Symbol"/>
    </w:rPr>
  </w:style>
  <w:style w:type="character" w:styleId="ListLabel1091" w:customStyle="1">
    <w:name w:val="ListLabel 1091"/>
    <w:qFormat/>
    <w:rPr>
      <w:rFonts w:eastAsia="Wingdings"/>
    </w:rPr>
  </w:style>
  <w:style w:type="character" w:styleId="ListLabel1090" w:customStyle="1">
    <w:name w:val="ListLabel 1090"/>
    <w:qFormat/>
    <w:rPr>
      <w:rFonts w:eastAsia="Courier New"/>
    </w:rPr>
  </w:style>
  <w:style w:type="character" w:styleId="ListLabel1089" w:customStyle="1">
    <w:name w:val="ListLabel 1089"/>
    <w:qFormat/>
    <w:rPr>
      <w:rFonts w:eastAsia="Symbol"/>
    </w:rPr>
  </w:style>
  <w:style w:type="character" w:styleId="ListLabel1088" w:customStyle="1">
    <w:name w:val="ListLabel 1088"/>
    <w:qFormat/>
    <w:rPr>
      <w:rFonts w:eastAsia="Wingdings"/>
    </w:rPr>
  </w:style>
  <w:style w:type="character" w:styleId="ListLabel1087" w:customStyle="1">
    <w:name w:val="ListLabel 1087"/>
    <w:qFormat/>
    <w:rPr>
      <w:rFonts w:eastAsia="Courier New"/>
    </w:rPr>
  </w:style>
  <w:style w:type="character" w:styleId="ListLabel1086" w:customStyle="1">
    <w:name w:val="ListLabel 1086"/>
    <w:qFormat/>
    <w:rPr>
      <w:rFonts w:eastAsia="Wingdings"/>
      <w:color w:val="auto"/>
    </w:rPr>
  </w:style>
  <w:style w:type="character" w:styleId="ListLabel1085" w:customStyle="1">
    <w:name w:val="ListLabel 1085"/>
    <w:qFormat/>
    <w:rPr>
      <w:rFonts w:eastAsia="Times New Roman"/>
    </w:rPr>
  </w:style>
  <w:style w:type="character" w:styleId="ListLabel1084" w:customStyle="1">
    <w:name w:val="ListLabel 1084"/>
    <w:qFormat/>
    <w:rPr>
      <w:rFonts w:eastAsia="Times New Roman"/>
    </w:rPr>
  </w:style>
  <w:style w:type="character" w:styleId="ListLabel1083" w:customStyle="1">
    <w:name w:val="ListLabel 1083"/>
    <w:qFormat/>
    <w:rPr>
      <w:rFonts w:eastAsia="Times New Roman"/>
    </w:rPr>
  </w:style>
  <w:style w:type="character" w:styleId="ListLabel1082" w:customStyle="1">
    <w:name w:val="ListLabel 1082"/>
    <w:qFormat/>
    <w:rPr>
      <w:rFonts w:eastAsia="Times New Roman"/>
    </w:rPr>
  </w:style>
  <w:style w:type="character" w:styleId="ListLabel1081" w:customStyle="1">
    <w:name w:val="ListLabel 1081"/>
    <w:qFormat/>
    <w:rPr>
      <w:rFonts w:eastAsia="Times New Roman"/>
    </w:rPr>
  </w:style>
  <w:style w:type="character" w:styleId="ListLabel1080" w:customStyle="1">
    <w:name w:val="ListLabel 1080"/>
    <w:qFormat/>
    <w:rPr>
      <w:rFonts w:eastAsia="Times New Roman"/>
    </w:rPr>
  </w:style>
  <w:style w:type="character" w:styleId="ListLabel1079" w:customStyle="1">
    <w:name w:val="ListLabel 1079"/>
    <w:qFormat/>
    <w:rPr>
      <w:rFonts w:eastAsia="Times New Roman"/>
    </w:rPr>
  </w:style>
  <w:style w:type="character" w:styleId="ListLabel1078" w:customStyle="1">
    <w:name w:val="ListLabel 1078"/>
    <w:qFormat/>
    <w:rPr>
      <w:rFonts w:eastAsia="Times New Roman"/>
    </w:rPr>
  </w:style>
  <w:style w:type="character" w:styleId="ListLabel1077" w:customStyle="1">
    <w:name w:val="ListLabel 1077"/>
    <w:qFormat/>
    <w:rPr>
      <w:rFonts w:eastAsia="Times New Roman"/>
      <w:sz w:val="16"/>
    </w:rPr>
  </w:style>
  <w:style w:type="character" w:styleId="ListLabel1076" w:customStyle="1">
    <w:name w:val="ListLabel 1076"/>
    <w:qFormat/>
    <w:rPr>
      <w:rFonts w:eastAsia="Times New Roman"/>
      <w:sz w:val="22"/>
    </w:rPr>
  </w:style>
  <w:style w:type="character" w:styleId="ListLabel1075" w:customStyle="1">
    <w:name w:val="ListLabel 1075"/>
    <w:qFormat/>
    <w:rPr>
      <w:rFonts w:ascii="Calibri" w:hAnsi="Calibri" w:eastAsia="Tahoma"/>
      <w:sz w:val="22"/>
      <w:lang w:val="en-US"/>
    </w:rPr>
  </w:style>
  <w:style w:type="character" w:styleId="ListLabel1074" w:customStyle="1">
    <w:name w:val="ListLabel 1074"/>
    <w:qFormat/>
    <w:rPr>
      <w:rFonts w:eastAsia="Calibri"/>
    </w:rPr>
  </w:style>
  <w:style w:type="character" w:styleId="ListLabel1073" w:customStyle="1">
    <w:name w:val="ListLabel 1073"/>
    <w:qFormat/>
    <w:rPr>
      <w:rFonts w:ascii="Calibri" w:hAnsi="Calibri" w:eastAsia="Calibri"/>
      <w:sz w:val="22"/>
    </w:rPr>
  </w:style>
  <w:style w:type="character" w:styleId="ListLabel1071" w:customStyle="1">
    <w:name w:val="ListLabel 1071"/>
    <w:qFormat/>
    <w:rPr>
      <w:rFonts w:eastAsia="Tahoma"/>
      <w:i/>
      <w:color w:val="auto"/>
      <w:sz w:val="22"/>
    </w:rPr>
  </w:style>
  <w:style w:type="character" w:styleId="ListLabel1070" w:customStyle="1">
    <w:name w:val="ListLabel 1070"/>
    <w:qFormat/>
    <w:rPr>
      <w:rFonts w:eastAsia="Calibri"/>
      <w:b/>
      <w:sz w:val="22"/>
      <w:lang w:eastAsia="el-GR"/>
    </w:rPr>
  </w:style>
  <w:style w:type="character" w:styleId="ListLabel1069" w:customStyle="1">
    <w:name w:val="ListLabel 1069"/>
    <w:qFormat/>
    <w:rPr>
      <w:rFonts w:eastAsia="Calibri"/>
      <w:b/>
      <w:sz w:val="22"/>
      <w:lang w:eastAsia="en-US"/>
    </w:rPr>
  </w:style>
  <w:style w:type="character" w:styleId="ListLabel1068" w:customStyle="1">
    <w:name w:val="ListLabel 1068"/>
    <w:qFormat/>
    <w:rPr>
      <w:rFonts w:eastAsia="Calibri"/>
      <w:lang w:eastAsia="el-GR"/>
    </w:rPr>
  </w:style>
  <w:style w:type="character" w:styleId="ListLabel1067" w:customStyle="1">
    <w:name w:val="ListLabel 1067"/>
    <w:qFormat/>
    <w:rPr>
      <w:rFonts w:eastAsia="Calibri"/>
    </w:rPr>
  </w:style>
  <w:style w:type="character" w:styleId="ListLabel1066" w:customStyle="1">
    <w:name w:val="ListLabel 1066"/>
    <w:qFormat/>
    <w:rPr>
      <w:rFonts w:eastAsia="Calibri"/>
      <w:b/>
      <w:color w:val="0000FF"/>
      <w:sz w:val="22"/>
      <w:u w:val="single"/>
      <w:lang w:eastAsia="el-GR"/>
    </w:rPr>
  </w:style>
  <w:style w:type="character" w:styleId="ListLabel1065" w:customStyle="1">
    <w:name w:val="ListLabel 1065"/>
    <w:qFormat/>
    <w:rPr>
      <w:rFonts w:eastAsia="Calibri"/>
      <w:b/>
      <w:sz w:val="22"/>
      <w:lang w:eastAsia="en-US"/>
    </w:rPr>
  </w:style>
  <w:style w:type="character" w:styleId="ListLabel1064" w:customStyle="1">
    <w:name w:val="ListLabel 1064"/>
    <w:qFormat/>
    <w:rPr>
      <w:rFonts w:eastAsia="Calibri"/>
      <w:b/>
      <w:sz w:val="22"/>
    </w:rPr>
  </w:style>
  <w:style w:type="character" w:styleId="ListLabel1063" w:customStyle="1">
    <w:name w:val="ListLabel 1063"/>
    <w:qFormat/>
    <w:rPr>
      <w:rFonts w:eastAsia="Calibri"/>
      <w:b/>
      <w:sz w:val="22"/>
      <w:lang w:eastAsia="el-GR"/>
    </w:rPr>
  </w:style>
  <w:style w:type="character" w:styleId="ListLabel1062" w:customStyle="1">
    <w:name w:val="ListLabel 1062"/>
    <w:qFormat/>
    <w:rPr>
      <w:rFonts w:eastAsia="Calibri"/>
      <w:b/>
      <w:sz w:val="22"/>
      <w:lang w:eastAsia="el-GR"/>
    </w:rPr>
  </w:style>
  <w:style w:type="character" w:styleId="ListLabel1061" w:customStyle="1">
    <w:name w:val="ListLabel 1061"/>
    <w:qFormat/>
    <w:rPr>
      <w:rFonts w:eastAsia="Calibri"/>
      <w:b/>
      <w:sz w:val="22"/>
      <w:lang w:eastAsia="el-GR"/>
    </w:rPr>
  </w:style>
  <w:style w:type="character" w:styleId="ListLabel1060" w:customStyle="1">
    <w:name w:val="ListLabel 1060"/>
    <w:qFormat/>
    <w:rPr>
      <w:rFonts w:eastAsia="Calibri"/>
      <w:b/>
      <w:sz w:val="22"/>
      <w:lang w:eastAsia="el-GR"/>
    </w:rPr>
  </w:style>
  <w:style w:type="character" w:styleId="ListLabel1059" w:customStyle="1">
    <w:name w:val="ListLabel 1059"/>
    <w:qFormat/>
    <w:rPr>
      <w:rFonts w:eastAsia="Calibri"/>
      <w:color w:val="0000FF"/>
      <w:sz w:val="22"/>
      <w:u w:val="single"/>
      <w:lang w:eastAsia="el-GR"/>
    </w:rPr>
  </w:style>
  <w:style w:type="character" w:styleId="ListLabel1058" w:customStyle="1">
    <w:name w:val="ListLabel 1058"/>
    <w:qFormat/>
    <w:rPr>
      <w:rFonts w:eastAsia="Calibri"/>
      <w:sz w:val="22"/>
    </w:rPr>
  </w:style>
  <w:style w:type="character" w:styleId="ListLabel1057" w:customStyle="1">
    <w:name w:val="ListLabel 1057"/>
    <w:qFormat/>
    <w:rPr>
      <w:rFonts w:eastAsia="Calibri"/>
      <w:sz w:val="22"/>
      <w:lang w:eastAsia="en-US"/>
    </w:rPr>
  </w:style>
  <w:style w:type="character" w:styleId="ListLabel355" w:customStyle="1">
    <w:name w:val="ListLabel 355"/>
    <w:qFormat/>
    <w:rPr>
      <w:rFonts w:eastAsia="Calibri"/>
    </w:rPr>
  </w:style>
  <w:style w:type="character" w:styleId="ListLabel354" w:customStyle="1">
    <w:name w:val="ListLabel 354"/>
    <w:qFormat/>
    <w:rPr>
      <w:rFonts w:ascii="Calibri" w:hAnsi="Calibri" w:eastAsia="Calibri"/>
      <w:sz w:val="22"/>
    </w:rPr>
  </w:style>
  <w:style w:type="character" w:styleId="ListLabel353" w:customStyle="1">
    <w:name w:val="ListLabel 353"/>
    <w:qFormat/>
    <w:rPr>
      <w:rFonts w:eastAsia="Calibri"/>
      <w:b/>
      <w:sz w:val="22"/>
      <w:lang w:eastAsia="el-GR"/>
    </w:rPr>
  </w:style>
  <w:style w:type="character" w:styleId="ListLabel352" w:customStyle="1">
    <w:name w:val="ListLabel 352"/>
    <w:qFormat/>
    <w:rPr>
      <w:rFonts w:eastAsia="Calibri"/>
      <w:b/>
      <w:sz w:val="22"/>
      <w:lang w:eastAsia="en-US"/>
    </w:rPr>
  </w:style>
  <w:style w:type="character" w:styleId="ListLabel351" w:customStyle="1">
    <w:name w:val="ListLabel 351"/>
    <w:qFormat/>
    <w:rPr>
      <w:rFonts w:eastAsia="Calibri"/>
      <w:lang w:eastAsia="el-GR"/>
    </w:rPr>
  </w:style>
  <w:style w:type="character" w:styleId="ListLabel350" w:customStyle="1">
    <w:name w:val="ListLabel 350"/>
    <w:qFormat/>
    <w:rPr>
      <w:rFonts w:eastAsia="Calibri"/>
      <w:b/>
      <w:color w:val="0000FF"/>
      <w:sz w:val="22"/>
      <w:u w:val="single"/>
      <w:lang w:eastAsia="el-GR"/>
    </w:rPr>
  </w:style>
  <w:style w:type="character" w:styleId="ListLabel349" w:customStyle="1">
    <w:name w:val="ListLabel 349"/>
    <w:qFormat/>
    <w:rPr>
      <w:rFonts w:eastAsia="Calibri"/>
      <w:b/>
      <w:sz w:val="22"/>
      <w:lang w:eastAsia="en-US"/>
    </w:rPr>
  </w:style>
  <w:style w:type="character" w:styleId="ListLabel348" w:customStyle="1">
    <w:name w:val="ListLabel 348"/>
    <w:qFormat/>
    <w:rPr>
      <w:rFonts w:eastAsia="Calibri"/>
      <w:b/>
      <w:sz w:val="22"/>
    </w:rPr>
  </w:style>
  <w:style w:type="character" w:styleId="ListLabel347" w:customStyle="1">
    <w:name w:val="ListLabel 347"/>
    <w:qFormat/>
    <w:rPr>
      <w:rFonts w:eastAsia="Calibri"/>
      <w:b/>
      <w:sz w:val="22"/>
      <w:lang w:eastAsia="el-GR"/>
    </w:rPr>
  </w:style>
  <w:style w:type="character" w:styleId="ListLabel346" w:customStyle="1">
    <w:name w:val="ListLabel 346"/>
    <w:qFormat/>
    <w:rPr>
      <w:rFonts w:eastAsia="Calibri"/>
      <w:b/>
      <w:sz w:val="22"/>
      <w:lang w:eastAsia="el-GR"/>
    </w:rPr>
  </w:style>
  <w:style w:type="character" w:styleId="ListLabel345" w:customStyle="1">
    <w:name w:val="ListLabel 345"/>
    <w:qFormat/>
    <w:rPr>
      <w:rFonts w:eastAsia="Calibri"/>
      <w:b/>
      <w:sz w:val="22"/>
      <w:lang w:eastAsia="el-GR"/>
    </w:rPr>
  </w:style>
  <w:style w:type="character" w:styleId="ListLabel344" w:customStyle="1">
    <w:name w:val="ListLabel 344"/>
    <w:qFormat/>
    <w:rPr>
      <w:rFonts w:eastAsia="Calibri"/>
      <w:b/>
      <w:sz w:val="22"/>
      <w:lang w:eastAsia="el-GR"/>
    </w:rPr>
  </w:style>
  <w:style w:type="character" w:styleId="ListLabel343" w:customStyle="1">
    <w:name w:val="ListLabel 343"/>
    <w:qFormat/>
    <w:rPr>
      <w:rFonts w:eastAsia="Calibri"/>
      <w:color w:val="0000FF"/>
      <w:sz w:val="22"/>
      <w:u w:val="single"/>
      <w:lang w:eastAsia="el-GR"/>
    </w:rPr>
  </w:style>
  <w:style w:type="character" w:styleId="ListLabel342" w:customStyle="1">
    <w:name w:val="ListLabel 342"/>
    <w:qFormat/>
    <w:rPr>
      <w:rFonts w:eastAsia="Calibri"/>
      <w:sz w:val="22"/>
    </w:rPr>
  </w:style>
  <w:style w:type="character" w:styleId="ListLabel341" w:customStyle="1">
    <w:name w:val="ListLabel 341"/>
    <w:qFormat/>
    <w:rPr>
      <w:rFonts w:eastAsia="Calibri"/>
      <w:sz w:val="22"/>
      <w:lang w:eastAsia="en-US"/>
    </w:rPr>
  </w:style>
  <w:style w:type="character" w:styleId="ListLabel340" w:customStyle="1">
    <w:name w:val="ListLabel 340"/>
    <w:qFormat/>
    <w:rPr>
      <w:rFonts w:eastAsia="Calibri"/>
    </w:rPr>
  </w:style>
  <w:style w:type="character" w:styleId="ListLabel339" w:customStyle="1">
    <w:name w:val="ListLabel 339"/>
    <w:qFormat/>
    <w:rPr>
      <w:rFonts w:eastAsia="Calibri"/>
      <w:lang w:eastAsia="en-US"/>
    </w:rPr>
  </w:style>
  <w:style w:type="character" w:styleId="ListLabel338" w:customStyle="1">
    <w:name w:val="ListLabel 338"/>
    <w:qFormat/>
    <w:rPr>
      <w:rFonts w:eastAsia="Wingdings"/>
    </w:rPr>
  </w:style>
  <w:style w:type="character" w:styleId="ListLabel337" w:customStyle="1">
    <w:name w:val="ListLabel 337"/>
    <w:qFormat/>
    <w:rPr>
      <w:rFonts w:eastAsia="Courier New"/>
    </w:rPr>
  </w:style>
  <w:style w:type="character" w:styleId="ListLabel336" w:customStyle="1">
    <w:name w:val="ListLabel 336"/>
    <w:qFormat/>
    <w:rPr>
      <w:rFonts w:eastAsia="Symbol"/>
    </w:rPr>
  </w:style>
  <w:style w:type="character" w:styleId="ListLabel335" w:customStyle="1">
    <w:name w:val="ListLabel 335"/>
    <w:qFormat/>
    <w:rPr>
      <w:rFonts w:eastAsia="Wingdings"/>
    </w:rPr>
  </w:style>
  <w:style w:type="character" w:styleId="ListLabel334" w:customStyle="1">
    <w:name w:val="ListLabel 334"/>
    <w:qFormat/>
    <w:rPr>
      <w:rFonts w:eastAsia="Courier New"/>
    </w:rPr>
  </w:style>
  <w:style w:type="character" w:styleId="ListLabel333" w:customStyle="1">
    <w:name w:val="ListLabel 333"/>
    <w:qFormat/>
    <w:rPr>
      <w:rFonts w:eastAsia="Symbol"/>
    </w:rPr>
  </w:style>
  <w:style w:type="character" w:styleId="ListLabel332" w:customStyle="1">
    <w:name w:val="ListLabel 332"/>
    <w:qFormat/>
    <w:rPr>
      <w:rFonts w:eastAsia="Wingdings"/>
    </w:rPr>
  </w:style>
  <w:style w:type="character" w:styleId="ListLabel331" w:customStyle="1">
    <w:name w:val="ListLabel 331"/>
    <w:qFormat/>
    <w:rPr>
      <w:rFonts w:eastAsia="Courier New"/>
    </w:rPr>
  </w:style>
  <w:style w:type="character" w:styleId="ListLabel330" w:customStyle="1">
    <w:name w:val="ListLabel 330"/>
    <w:qFormat/>
    <w:rPr>
      <w:rFonts w:eastAsia="Symbol"/>
    </w:rPr>
  </w:style>
  <w:style w:type="character" w:styleId="ListLabel329" w:customStyle="1">
    <w:name w:val="ListLabel 329"/>
    <w:qFormat/>
    <w:rPr>
      <w:rFonts w:eastAsia="Symbol"/>
      <w:lang w:eastAsia="el-GR"/>
    </w:rPr>
  </w:style>
  <w:style w:type="character" w:styleId="ListLabel328" w:customStyle="1">
    <w:name w:val="ListLabel 328"/>
    <w:qFormat/>
    <w:rPr>
      <w:rFonts w:eastAsia="Symbol"/>
      <w:lang w:eastAsia="el-GR"/>
    </w:rPr>
  </w:style>
  <w:style w:type="character" w:styleId="ListLabel327" w:customStyle="1">
    <w:name w:val="ListLabel 327"/>
    <w:qFormat/>
    <w:rPr>
      <w:rFonts w:eastAsia="Symbol"/>
      <w:lang w:eastAsia="el-GR"/>
    </w:rPr>
  </w:style>
  <w:style w:type="character" w:styleId="ListLabel326" w:customStyle="1">
    <w:name w:val="ListLabel 326"/>
    <w:qFormat/>
    <w:rPr>
      <w:rFonts w:eastAsia="Symbol"/>
      <w:lang w:eastAsia="el-GR"/>
    </w:rPr>
  </w:style>
  <w:style w:type="character" w:styleId="ListLabel325" w:customStyle="1">
    <w:name w:val="ListLabel 325"/>
    <w:qFormat/>
    <w:rPr>
      <w:rFonts w:eastAsia="Symbol"/>
      <w:lang w:eastAsia="el-GR"/>
    </w:rPr>
  </w:style>
  <w:style w:type="character" w:styleId="ListLabel324" w:customStyle="1">
    <w:name w:val="ListLabel 324"/>
    <w:qFormat/>
    <w:rPr>
      <w:rFonts w:eastAsia="Symbol"/>
      <w:lang w:eastAsia="el-GR"/>
    </w:rPr>
  </w:style>
  <w:style w:type="character" w:styleId="ListLabel323" w:customStyle="1">
    <w:name w:val="ListLabel 323"/>
    <w:qFormat/>
    <w:rPr>
      <w:rFonts w:eastAsia="Symbol"/>
      <w:lang w:eastAsia="el-GR"/>
    </w:rPr>
  </w:style>
  <w:style w:type="character" w:styleId="ListLabel322" w:customStyle="1">
    <w:name w:val="ListLabel 322"/>
    <w:qFormat/>
    <w:rPr>
      <w:rFonts w:eastAsia="Symbol"/>
      <w:lang w:eastAsia="el-GR"/>
    </w:rPr>
  </w:style>
  <w:style w:type="character" w:styleId="ListLabel321" w:customStyle="1">
    <w:name w:val="ListLabel 321"/>
    <w:qFormat/>
    <w:rPr>
      <w:rFonts w:eastAsia="Wingdings"/>
      <w:w w:val="100"/>
      <w:sz w:val="22"/>
      <w:lang w:eastAsia="el-GR"/>
    </w:rPr>
  </w:style>
  <w:style w:type="character" w:styleId="ListLabel320" w:customStyle="1">
    <w:name w:val="ListLabel 320"/>
    <w:qFormat/>
    <w:rPr>
      <w:rFonts w:eastAsia="Symbol"/>
      <w:lang w:eastAsia="el-GR"/>
    </w:rPr>
  </w:style>
  <w:style w:type="character" w:styleId="ListLabel319" w:customStyle="1">
    <w:name w:val="ListLabel 319"/>
    <w:qFormat/>
    <w:rPr>
      <w:rFonts w:eastAsia="Symbol"/>
      <w:lang w:eastAsia="el-GR"/>
    </w:rPr>
  </w:style>
  <w:style w:type="character" w:styleId="ListLabel318" w:customStyle="1">
    <w:name w:val="ListLabel 318"/>
    <w:qFormat/>
    <w:rPr>
      <w:rFonts w:eastAsia="Symbol"/>
      <w:lang w:eastAsia="el-GR"/>
    </w:rPr>
  </w:style>
  <w:style w:type="character" w:styleId="ListLabel317" w:customStyle="1">
    <w:name w:val="ListLabel 317"/>
    <w:qFormat/>
    <w:rPr>
      <w:rFonts w:eastAsia="Symbol"/>
      <w:lang w:eastAsia="el-GR"/>
    </w:rPr>
  </w:style>
  <w:style w:type="character" w:styleId="ListLabel316" w:customStyle="1">
    <w:name w:val="ListLabel 316"/>
    <w:qFormat/>
    <w:rPr>
      <w:rFonts w:eastAsia="Symbol"/>
      <w:lang w:eastAsia="el-GR"/>
    </w:rPr>
  </w:style>
  <w:style w:type="character" w:styleId="ListLabel315" w:customStyle="1">
    <w:name w:val="ListLabel 315"/>
    <w:qFormat/>
    <w:rPr>
      <w:rFonts w:eastAsia="Symbol"/>
      <w:lang w:eastAsia="el-GR"/>
    </w:rPr>
  </w:style>
  <w:style w:type="character" w:styleId="ListLabel314" w:customStyle="1">
    <w:name w:val="ListLabel 314"/>
    <w:qFormat/>
    <w:rPr>
      <w:rFonts w:eastAsia="Symbol"/>
      <w:lang w:eastAsia="el-GR"/>
    </w:rPr>
  </w:style>
  <w:style w:type="character" w:styleId="ListLabel313" w:customStyle="1">
    <w:name w:val="ListLabel 313"/>
    <w:qFormat/>
    <w:rPr>
      <w:rFonts w:eastAsia="Wingdings"/>
      <w:w w:val="100"/>
      <w:sz w:val="22"/>
      <w:lang w:eastAsia="el-GR"/>
    </w:rPr>
  </w:style>
  <w:style w:type="character" w:styleId="ListLabel312" w:customStyle="1">
    <w:name w:val="ListLabel 312"/>
    <w:qFormat/>
    <w:rPr>
      <w:rFonts w:eastAsia="Wingdings"/>
      <w:w w:val="100"/>
      <w:lang w:eastAsia="el-GR"/>
    </w:rPr>
  </w:style>
  <w:style w:type="character" w:styleId="ListLabel311" w:customStyle="1">
    <w:name w:val="ListLabel 311"/>
    <w:qFormat/>
    <w:rPr>
      <w:rFonts w:eastAsia="Wingdings"/>
    </w:rPr>
  </w:style>
  <w:style w:type="character" w:styleId="ListLabel310" w:customStyle="1">
    <w:name w:val="ListLabel 310"/>
    <w:qFormat/>
    <w:rPr>
      <w:rFonts w:eastAsia="Courier New"/>
    </w:rPr>
  </w:style>
  <w:style w:type="character" w:styleId="ListLabel309" w:customStyle="1">
    <w:name w:val="ListLabel 309"/>
    <w:qFormat/>
    <w:rPr>
      <w:rFonts w:eastAsia="Symbol"/>
    </w:rPr>
  </w:style>
  <w:style w:type="character" w:styleId="ListLabel308" w:customStyle="1">
    <w:name w:val="ListLabel 308"/>
    <w:qFormat/>
    <w:rPr>
      <w:rFonts w:eastAsia="Wingdings"/>
    </w:rPr>
  </w:style>
  <w:style w:type="character" w:styleId="ListLabel307" w:customStyle="1">
    <w:name w:val="ListLabel 307"/>
    <w:qFormat/>
    <w:rPr>
      <w:rFonts w:eastAsia="Courier New"/>
    </w:rPr>
  </w:style>
  <w:style w:type="character" w:styleId="ListLabel306" w:customStyle="1">
    <w:name w:val="ListLabel 306"/>
    <w:qFormat/>
    <w:rPr>
      <w:rFonts w:eastAsia="Symbol"/>
    </w:rPr>
  </w:style>
  <w:style w:type="character" w:styleId="ListLabel305" w:customStyle="1">
    <w:name w:val="ListLabel 305"/>
    <w:qFormat/>
    <w:rPr>
      <w:rFonts w:eastAsia="Wingdings"/>
    </w:rPr>
  </w:style>
  <w:style w:type="character" w:styleId="ListLabel304" w:customStyle="1">
    <w:name w:val="ListLabel 304"/>
    <w:qFormat/>
    <w:rPr>
      <w:rFonts w:eastAsia="Courier New"/>
    </w:rPr>
  </w:style>
  <w:style w:type="character" w:styleId="ListLabel303" w:customStyle="1">
    <w:name w:val="ListLabel 303"/>
    <w:qFormat/>
    <w:rPr>
      <w:rFonts w:eastAsia="Symbol"/>
    </w:rPr>
  </w:style>
  <w:style w:type="character" w:styleId="ListLabel302" w:customStyle="1">
    <w:name w:val="ListLabel 302"/>
    <w:qFormat/>
    <w:rPr>
      <w:rFonts w:eastAsia="Wingdings"/>
    </w:rPr>
  </w:style>
  <w:style w:type="character" w:styleId="ListLabel301" w:customStyle="1">
    <w:name w:val="ListLabel 301"/>
    <w:qFormat/>
    <w:rPr>
      <w:rFonts w:eastAsia="Courier New"/>
    </w:rPr>
  </w:style>
  <w:style w:type="character" w:styleId="ListLabel300" w:customStyle="1">
    <w:name w:val="ListLabel 300"/>
    <w:qFormat/>
    <w:rPr>
      <w:rFonts w:eastAsia="Symbol"/>
    </w:rPr>
  </w:style>
  <w:style w:type="character" w:styleId="ListLabel299" w:customStyle="1">
    <w:name w:val="ListLabel 299"/>
    <w:qFormat/>
    <w:rPr>
      <w:rFonts w:eastAsia="Wingdings"/>
    </w:rPr>
  </w:style>
  <w:style w:type="character" w:styleId="ListLabel298" w:customStyle="1">
    <w:name w:val="ListLabel 298"/>
    <w:qFormat/>
    <w:rPr>
      <w:rFonts w:eastAsia="Courier New"/>
    </w:rPr>
  </w:style>
  <w:style w:type="character" w:styleId="ListLabel297" w:customStyle="1">
    <w:name w:val="ListLabel 297"/>
    <w:qFormat/>
    <w:rPr>
      <w:rFonts w:eastAsia="Symbol"/>
    </w:rPr>
  </w:style>
  <w:style w:type="character" w:styleId="ListLabel296" w:customStyle="1">
    <w:name w:val="ListLabel 296"/>
    <w:qFormat/>
    <w:rPr>
      <w:rFonts w:eastAsia="Wingdings"/>
    </w:rPr>
  </w:style>
  <w:style w:type="character" w:styleId="ListLabel295" w:customStyle="1">
    <w:name w:val="ListLabel 295"/>
    <w:qFormat/>
    <w:rPr>
      <w:rFonts w:eastAsia="Courier New"/>
    </w:rPr>
  </w:style>
  <w:style w:type="character" w:styleId="ListLabel294" w:customStyle="1">
    <w:name w:val="ListLabel 294"/>
    <w:qFormat/>
    <w:rPr>
      <w:rFonts w:ascii="Calibri" w:hAnsi="Calibri" w:eastAsia="Symbol"/>
    </w:rPr>
  </w:style>
  <w:style w:type="character" w:styleId="ListLabel293" w:customStyle="1">
    <w:name w:val="ListLabel 293"/>
    <w:qFormat/>
    <w:rPr>
      <w:rFonts w:eastAsia="Wingdings"/>
    </w:rPr>
  </w:style>
  <w:style w:type="character" w:styleId="ListLabel292" w:customStyle="1">
    <w:name w:val="ListLabel 292"/>
    <w:qFormat/>
    <w:rPr>
      <w:rFonts w:eastAsia="Courier New"/>
    </w:rPr>
  </w:style>
  <w:style w:type="character" w:styleId="ListLabel291" w:customStyle="1">
    <w:name w:val="ListLabel 291"/>
    <w:qFormat/>
    <w:rPr>
      <w:rFonts w:eastAsia="Symbol"/>
    </w:rPr>
  </w:style>
  <w:style w:type="character" w:styleId="ListLabel290" w:customStyle="1">
    <w:name w:val="ListLabel 290"/>
    <w:qFormat/>
    <w:rPr>
      <w:rFonts w:eastAsia="Wingdings"/>
    </w:rPr>
  </w:style>
  <w:style w:type="character" w:styleId="ListLabel289" w:customStyle="1">
    <w:name w:val="ListLabel 289"/>
    <w:qFormat/>
    <w:rPr>
      <w:rFonts w:eastAsia="Courier New"/>
    </w:rPr>
  </w:style>
  <w:style w:type="character" w:styleId="ListLabel288" w:customStyle="1">
    <w:name w:val="ListLabel 288"/>
    <w:qFormat/>
    <w:rPr>
      <w:rFonts w:eastAsia="Symbol"/>
    </w:rPr>
  </w:style>
  <w:style w:type="character" w:styleId="ListLabel287" w:customStyle="1">
    <w:name w:val="ListLabel 287"/>
    <w:qFormat/>
    <w:rPr>
      <w:rFonts w:eastAsia="Wingdings"/>
    </w:rPr>
  </w:style>
  <w:style w:type="character" w:styleId="ListLabel286" w:customStyle="1">
    <w:name w:val="ListLabel 286"/>
    <w:qFormat/>
    <w:rPr>
      <w:rFonts w:eastAsia="Courier New"/>
    </w:rPr>
  </w:style>
  <w:style w:type="character" w:styleId="ListLabel285" w:customStyle="1">
    <w:name w:val="ListLabel 285"/>
    <w:qFormat/>
    <w:rPr>
      <w:rFonts w:ascii="Calibri" w:hAnsi="Calibri" w:eastAsia="Wingdings"/>
    </w:rPr>
  </w:style>
  <w:style w:type="character" w:styleId="ListLabel284" w:customStyle="1">
    <w:name w:val="ListLabel 284"/>
    <w:qFormat/>
    <w:rPr>
      <w:rFonts w:eastAsia="Wingdings"/>
    </w:rPr>
  </w:style>
  <w:style w:type="character" w:styleId="ListLabel283" w:customStyle="1">
    <w:name w:val="ListLabel 283"/>
    <w:qFormat/>
    <w:rPr>
      <w:rFonts w:eastAsia="Courier New"/>
    </w:rPr>
  </w:style>
  <w:style w:type="character" w:styleId="ListLabel282" w:customStyle="1">
    <w:name w:val="ListLabel 282"/>
    <w:qFormat/>
    <w:rPr>
      <w:rFonts w:eastAsia="Symbol"/>
    </w:rPr>
  </w:style>
  <w:style w:type="character" w:styleId="ListLabel281" w:customStyle="1">
    <w:name w:val="ListLabel 281"/>
    <w:qFormat/>
    <w:rPr>
      <w:rFonts w:eastAsia="Wingdings"/>
    </w:rPr>
  </w:style>
  <w:style w:type="character" w:styleId="ListLabel280" w:customStyle="1">
    <w:name w:val="ListLabel 280"/>
    <w:qFormat/>
    <w:rPr>
      <w:rFonts w:eastAsia="Courier New"/>
    </w:rPr>
  </w:style>
  <w:style w:type="character" w:styleId="ListLabel279" w:customStyle="1">
    <w:name w:val="ListLabel 279"/>
    <w:qFormat/>
    <w:rPr>
      <w:rFonts w:eastAsia="Symbol"/>
    </w:rPr>
  </w:style>
  <w:style w:type="character" w:styleId="ListLabel278" w:customStyle="1">
    <w:name w:val="ListLabel 278"/>
    <w:qFormat/>
    <w:rPr>
      <w:rFonts w:eastAsia="Wingdings"/>
    </w:rPr>
  </w:style>
  <w:style w:type="character" w:styleId="ListLabel277" w:customStyle="1">
    <w:name w:val="ListLabel 277"/>
    <w:qFormat/>
    <w:rPr>
      <w:rFonts w:eastAsia="Courier New"/>
    </w:rPr>
  </w:style>
  <w:style w:type="character" w:styleId="ListLabel276" w:customStyle="1">
    <w:name w:val="ListLabel 276"/>
    <w:qFormat/>
    <w:rPr>
      <w:rFonts w:ascii="Calibri" w:hAnsi="Calibri" w:eastAsia="Wingdings"/>
      <w:b/>
    </w:rPr>
  </w:style>
  <w:style w:type="character" w:styleId="ListLabel275" w:customStyle="1">
    <w:name w:val="ListLabel 275"/>
    <w:qFormat/>
    <w:rPr>
      <w:rFonts w:eastAsia="Wingdings"/>
    </w:rPr>
  </w:style>
  <w:style w:type="character" w:styleId="ListLabel274" w:customStyle="1">
    <w:name w:val="ListLabel 274"/>
    <w:qFormat/>
    <w:rPr>
      <w:rFonts w:eastAsia="Courier New"/>
    </w:rPr>
  </w:style>
  <w:style w:type="character" w:styleId="ListLabel273" w:customStyle="1">
    <w:name w:val="ListLabel 273"/>
    <w:qFormat/>
    <w:rPr>
      <w:rFonts w:eastAsia="Symbol"/>
    </w:rPr>
  </w:style>
  <w:style w:type="character" w:styleId="ListLabel272" w:customStyle="1">
    <w:name w:val="ListLabel 272"/>
    <w:qFormat/>
    <w:rPr>
      <w:rFonts w:eastAsia="Wingdings"/>
    </w:rPr>
  </w:style>
  <w:style w:type="character" w:styleId="ListLabel271" w:customStyle="1">
    <w:name w:val="ListLabel 271"/>
    <w:qFormat/>
    <w:rPr>
      <w:rFonts w:eastAsia="Courier New"/>
    </w:rPr>
  </w:style>
  <w:style w:type="character" w:styleId="ListLabel270" w:customStyle="1">
    <w:name w:val="ListLabel 270"/>
    <w:qFormat/>
    <w:rPr>
      <w:rFonts w:eastAsia="Symbol"/>
    </w:rPr>
  </w:style>
  <w:style w:type="character" w:styleId="ListLabel269" w:customStyle="1">
    <w:name w:val="ListLabel 269"/>
    <w:qFormat/>
    <w:rPr>
      <w:rFonts w:eastAsia="Wingdings"/>
    </w:rPr>
  </w:style>
  <w:style w:type="character" w:styleId="ListLabel268" w:customStyle="1">
    <w:name w:val="ListLabel 268"/>
    <w:qFormat/>
    <w:rPr>
      <w:rFonts w:eastAsia="Courier New"/>
    </w:rPr>
  </w:style>
  <w:style w:type="character" w:styleId="ListLabel267" w:customStyle="1">
    <w:name w:val="ListLabel 267"/>
    <w:qFormat/>
    <w:rPr>
      <w:rFonts w:eastAsia="Wingdings"/>
    </w:rPr>
  </w:style>
  <w:style w:type="character" w:styleId="ListLabel266" w:customStyle="1">
    <w:name w:val="ListLabel 266"/>
    <w:qFormat/>
    <w:rPr>
      <w:rFonts w:ascii="Calibri" w:hAnsi="Calibri" w:eastAsia="Calibri"/>
      <w:b w:val="false"/>
      <w:i/>
      <w:sz w:val="22"/>
    </w:rPr>
  </w:style>
  <w:style w:type="character" w:styleId="ListLabel265" w:customStyle="1">
    <w:name w:val="ListLabel 265"/>
    <w:qFormat/>
    <w:rPr>
      <w:rFonts w:eastAsia="Wingdings"/>
    </w:rPr>
  </w:style>
  <w:style w:type="character" w:styleId="ListLabel264" w:customStyle="1">
    <w:name w:val="ListLabel 264"/>
    <w:qFormat/>
    <w:rPr>
      <w:rFonts w:eastAsia="Courier New"/>
    </w:rPr>
  </w:style>
  <w:style w:type="character" w:styleId="ListLabel263" w:customStyle="1">
    <w:name w:val="ListLabel 263"/>
    <w:qFormat/>
    <w:rPr>
      <w:rFonts w:eastAsia="Symbol"/>
    </w:rPr>
  </w:style>
  <w:style w:type="character" w:styleId="ListLabel262" w:customStyle="1">
    <w:name w:val="ListLabel 262"/>
    <w:qFormat/>
    <w:rPr>
      <w:rFonts w:eastAsia="Wingdings"/>
    </w:rPr>
  </w:style>
  <w:style w:type="character" w:styleId="ListLabel261" w:customStyle="1">
    <w:name w:val="ListLabel 261"/>
    <w:qFormat/>
    <w:rPr>
      <w:rFonts w:eastAsia="Courier New"/>
    </w:rPr>
  </w:style>
  <w:style w:type="character" w:styleId="ListLabel260" w:customStyle="1">
    <w:name w:val="ListLabel 260"/>
    <w:qFormat/>
    <w:rPr>
      <w:rFonts w:eastAsia="Symbol"/>
    </w:rPr>
  </w:style>
  <w:style w:type="character" w:styleId="ListLabel259" w:customStyle="1">
    <w:name w:val="ListLabel 259"/>
    <w:qFormat/>
    <w:rPr>
      <w:rFonts w:eastAsia="Wingdings"/>
    </w:rPr>
  </w:style>
  <w:style w:type="character" w:styleId="ListLabel258" w:customStyle="1">
    <w:name w:val="ListLabel 258"/>
    <w:qFormat/>
    <w:rPr>
      <w:rFonts w:eastAsia="Courier New"/>
    </w:rPr>
  </w:style>
  <w:style w:type="character" w:styleId="ListLabel257" w:customStyle="1">
    <w:name w:val="ListLabel 257"/>
    <w:qFormat/>
    <w:rPr>
      <w:rFonts w:eastAsia="Wingdings"/>
    </w:rPr>
  </w:style>
  <w:style w:type="character" w:styleId="ListLabel256" w:customStyle="1">
    <w:name w:val="ListLabel 256"/>
    <w:qFormat/>
    <w:rPr>
      <w:rFonts w:ascii="Calibri" w:hAnsi="Calibri" w:eastAsia="Symbol"/>
      <w:b/>
      <w:lang w:val="el-GR"/>
    </w:rPr>
  </w:style>
  <w:style w:type="character" w:styleId="ListLabel255" w:customStyle="1">
    <w:name w:val="ListLabel 255"/>
    <w:qFormat/>
    <w:rPr>
      <w:rFonts w:eastAsia="Wingdings"/>
    </w:rPr>
  </w:style>
  <w:style w:type="character" w:styleId="ListLabel254" w:customStyle="1">
    <w:name w:val="ListLabel 254"/>
    <w:qFormat/>
    <w:rPr>
      <w:rFonts w:eastAsia="Courier New"/>
    </w:rPr>
  </w:style>
  <w:style w:type="character" w:styleId="ListLabel253" w:customStyle="1">
    <w:name w:val="ListLabel 253"/>
    <w:qFormat/>
    <w:rPr>
      <w:rFonts w:eastAsia="Symbol"/>
    </w:rPr>
  </w:style>
  <w:style w:type="character" w:styleId="ListLabel252" w:customStyle="1">
    <w:name w:val="ListLabel 252"/>
    <w:qFormat/>
    <w:rPr>
      <w:rFonts w:eastAsia="Wingdings"/>
    </w:rPr>
  </w:style>
  <w:style w:type="character" w:styleId="ListLabel251" w:customStyle="1">
    <w:name w:val="ListLabel 251"/>
    <w:qFormat/>
    <w:rPr>
      <w:rFonts w:eastAsia="Courier New"/>
    </w:rPr>
  </w:style>
  <w:style w:type="character" w:styleId="ListLabel250" w:customStyle="1">
    <w:name w:val="ListLabel 250"/>
    <w:qFormat/>
    <w:rPr>
      <w:rFonts w:eastAsia="Symbol"/>
    </w:rPr>
  </w:style>
  <w:style w:type="character" w:styleId="ListLabel249" w:customStyle="1">
    <w:name w:val="ListLabel 249"/>
    <w:qFormat/>
    <w:rPr>
      <w:rFonts w:eastAsia="Wingdings"/>
    </w:rPr>
  </w:style>
  <w:style w:type="character" w:styleId="ListLabel248" w:customStyle="1">
    <w:name w:val="ListLabel 248"/>
    <w:qFormat/>
    <w:rPr>
      <w:rFonts w:eastAsia="Courier New"/>
    </w:rPr>
  </w:style>
  <w:style w:type="character" w:styleId="ListLabel247" w:customStyle="1">
    <w:name w:val="ListLabel 247"/>
    <w:qFormat/>
    <w:rPr>
      <w:rFonts w:ascii="Calibri" w:hAnsi="Calibri" w:eastAsia="Symbol"/>
    </w:rPr>
  </w:style>
  <w:style w:type="character" w:styleId="ListLabel246" w:customStyle="1">
    <w:name w:val="ListLabel 246"/>
    <w:qFormat/>
    <w:rPr>
      <w:rFonts w:eastAsia="Times New Roman"/>
    </w:rPr>
  </w:style>
  <w:style w:type="character" w:styleId="ListLabel245" w:customStyle="1">
    <w:name w:val="ListLabel 245"/>
    <w:qFormat/>
    <w:rPr>
      <w:rFonts w:eastAsia="Times New Roman"/>
    </w:rPr>
  </w:style>
  <w:style w:type="character" w:styleId="ListLabel244" w:customStyle="1">
    <w:name w:val="ListLabel 244"/>
    <w:qFormat/>
    <w:rPr>
      <w:rFonts w:eastAsia="Times New Roman"/>
    </w:rPr>
  </w:style>
  <w:style w:type="character" w:styleId="ListLabel243" w:customStyle="1">
    <w:name w:val="ListLabel 243"/>
    <w:qFormat/>
    <w:rPr>
      <w:rFonts w:eastAsia="Times New Roman"/>
    </w:rPr>
  </w:style>
  <w:style w:type="character" w:styleId="ListLabel242" w:customStyle="1">
    <w:name w:val="ListLabel 242"/>
    <w:qFormat/>
    <w:rPr>
      <w:rFonts w:eastAsia="Times New Roman"/>
    </w:rPr>
  </w:style>
  <w:style w:type="character" w:styleId="ListLabel241" w:customStyle="1">
    <w:name w:val="ListLabel 241"/>
    <w:qFormat/>
    <w:rPr>
      <w:rFonts w:eastAsia="Times New Roman"/>
    </w:rPr>
  </w:style>
  <w:style w:type="character" w:styleId="ListLabel240" w:customStyle="1">
    <w:name w:val="ListLabel 240"/>
    <w:qFormat/>
    <w:rPr>
      <w:rFonts w:eastAsia="Times New Roman"/>
    </w:rPr>
  </w:style>
  <w:style w:type="character" w:styleId="ListLabel239" w:customStyle="1">
    <w:name w:val="ListLabel 239"/>
    <w:qFormat/>
    <w:rPr>
      <w:rFonts w:eastAsia="Times New Roman"/>
    </w:rPr>
  </w:style>
  <w:style w:type="character" w:styleId="ListLabel238" w:customStyle="1">
    <w:name w:val="ListLabel 238"/>
    <w:qFormat/>
    <w:rPr>
      <w:rFonts w:ascii="Calibri" w:hAnsi="Calibri" w:eastAsia="Times New Roman"/>
    </w:rPr>
  </w:style>
  <w:style w:type="character" w:styleId="ListLabel237" w:customStyle="1">
    <w:name w:val="ListLabel 237"/>
    <w:qFormat/>
    <w:rPr>
      <w:rFonts w:eastAsia="Wingdings"/>
    </w:rPr>
  </w:style>
  <w:style w:type="character" w:styleId="ListLabel236" w:customStyle="1">
    <w:name w:val="ListLabel 236"/>
    <w:qFormat/>
    <w:rPr>
      <w:rFonts w:eastAsia="Courier New"/>
    </w:rPr>
  </w:style>
  <w:style w:type="character" w:styleId="ListLabel235" w:customStyle="1">
    <w:name w:val="ListLabel 235"/>
    <w:qFormat/>
    <w:rPr>
      <w:rFonts w:eastAsia="Symbol"/>
    </w:rPr>
  </w:style>
  <w:style w:type="character" w:styleId="ListLabel234" w:customStyle="1">
    <w:name w:val="ListLabel 234"/>
    <w:qFormat/>
    <w:rPr>
      <w:rFonts w:eastAsia="Wingdings"/>
    </w:rPr>
  </w:style>
  <w:style w:type="character" w:styleId="ListLabel233" w:customStyle="1">
    <w:name w:val="ListLabel 233"/>
    <w:qFormat/>
    <w:rPr>
      <w:rFonts w:eastAsia="Courier New"/>
    </w:rPr>
  </w:style>
  <w:style w:type="character" w:styleId="ListLabel232" w:customStyle="1">
    <w:name w:val="ListLabel 232"/>
    <w:qFormat/>
    <w:rPr>
      <w:rFonts w:eastAsia="Symbol"/>
    </w:rPr>
  </w:style>
  <w:style w:type="character" w:styleId="ListLabel231" w:customStyle="1">
    <w:name w:val="ListLabel 231"/>
    <w:qFormat/>
    <w:rPr>
      <w:rFonts w:eastAsia="Wingdings"/>
    </w:rPr>
  </w:style>
  <w:style w:type="character" w:styleId="ListLabel230" w:customStyle="1">
    <w:name w:val="ListLabel 230"/>
    <w:qFormat/>
    <w:rPr>
      <w:rFonts w:eastAsia="Courier New"/>
    </w:rPr>
  </w:style>
  <w:style w:type="character" w:styleId="ListLabel229" w:customStyle="1">
    <w:name w:val="ListLabel 229"/>
    <w:qFormat/>
    <w:rPr>
      <w:rFonts w:eastAsia="Wingdings"/>
      <w:color w:val="auto"/>
    </w:rPr>
  </w:style>
  <w:style w:type="character" w:styleId="ListLabel228" w:customStyle="1">
    <w:name w:val="ListLabel 228"/>
    <w:qFormat/>
    <w:rPr>
      <w:rFonts w:eastAsia="Times New Roman"/>
    </w:rPr>
  </w:style>
  <w:style w:type="character" w:styleId="ListLabel227" w:customStyle="1">
    <w:name w:val="ListLabel 227"/>
    <w:qFormat/>
    <w:rPr>
      <w:rFonts w:eastAsia="Times New Roman"/>
    </w:rPr>
  </w:style>
  <w:style w:type="character" w:styleId="ListLabel226" w:customStyle="1">
    <w:name w:val="ListLabel 226"/>
    <w:qFormat/>
    <w:rPr>
      <w:rFonts w:eastAsia="Times New Roman"/>
    </w:rPr>
  </w:style>
  <w:style w:type="character" w:styleId="ListLabel225" w:customStyle="1">
    <w:name w:val="ListLabel 225"/>
    <w:qFormat/>
    <w:rPr>
      <w:rFonts w:eastAsia="Times New Roman"/>
    </w:rPr>
  </w:style>
  <w:style w:type="character" w:styleId="ListLabel224" w:customStyle="1">
    <w:name w:val="ListLabel 224"/>
    <w:qFormat/>
    <w:rPr>
      <w:rFonts w:eastAsia="Times New Roman"/>
    </w:rPr>
  </w:style>
  <w:style w:type="character" w:styleId="ListLabel223" w:customStyle="1">
    <w:name w:val="ListLabel 223"/>
    <w:qFormat/>
    <w:rPr>
      <w:rFonts w:eastAsia="Times New Roman"/>
    </w:rPr>
  </w:style>
  <w:style w:type="character" w:styleId="ListLabel222" w:customStyle="1">
    <w:name w:val="ListLabel 222"/>
    <w:qFormat/>
    <w:rPr>
      <w:rFonts w:eastAsia="Times New Roman"/>
    </w:rPr>
  </w:style>
  <w:style w:type="character" w:styleId="ListLabel221" w:customStyle="1">
    <w:name w:val="ListLabel 221"/>
    <w:qFormat/>
    <w:rPr>
      <w:rFonts w:eastAsia="Times New Roman"/>
    </w:rPr>
  </w:style>
  <w:style w:type="character" w:styleId="ListLabel220" w:customStyle="1">
    <w:name w:val="ListLabel 220"/>
    <w:qFormat/>
    <w:rPr>
      <w:rFonts w:ascii="Calibri" w:hAnsi="Calibri" w:eastAsia="Times New Roman"/>
      <w:sz w:val="16"/>
    </w:rPr>
  </w:style>
  <w:style w:type="character" w:styleId="ListLabel219" w:customStyle="1">
    <w:name w:val="ListLabel 219"/>
    <w:qFormat/>
    <w:rPr>
      <w:rFonts w:ascii="Calibri" w:hAnsi="Calibri" w:eastAsia="Times New Roman"/>
      <w:sz w:val="22"/>
    </w:rPr>
  </w:style>
  <w:style w:type="character" w:styleId="ListLabel218" w:customStyle="1">
    <w:name w:val="ListLabel 218"/>
    <w:qFormat/>
    <w:rPr>
      <w:rFonts w:eastAsia="Calibri"/>
    </w:rPr>
  </w:style>
  <w:style w:type="character" w:styleId="ListLabel217" w:customStyle="1">
    <w:name w:val="ListLabel 217"/>
    <w:qFormat/>
    <w:rPr>
      <w:rFonts w:ascii="Calibri" w:hAnsi="Calibri" w:eastAsia="Calibri"/>
      <w:sz w:val="22"/>
    </w:rPr>
  </w:style>
  <w:style w:type="character" w:styleId="ListLabel216" w:customStyle="1">
    <w:name w:val="ListLabel 216"/>
    <w:qFormat/>
    <w:rPr>
      <w:rFonts w:eastAsia="Calibri"/>
      <w:b/>
      <w:sz w:val="22"/>
      <w:lang w:eastAsia="el-GR"/>
    </w:rPr>
  </w:style>
  <w:style w:type="character" w:styleId="ListLabel215" w:customStyle="1">
    <w:name w:val="ListLabel 215"/>
    <w:qFormat/>
    <w:rPr>
      <w:rFonts w:eastAsia="Calibri"/>
      <w:b/>
      <w:sz w:val="22"/>
      <w:lang w:eastAsia="en-US"/>
    </w:rPr>
  </w:style>
  <w:style w:type="character" w:styleId="ListLabel214" w:customStyle="1">
    <w:name w:val="ListLabel 214"/>
    <w:qFormat/>
    <w:rPr>
      <w:rFonts w:eastAsia="Calibri"/>
      <w:lang w:eastAsia="el-GR"/>
    </w:rPr>
  </w:style>
  <w:style w:type="character" w:styleId="ListLabel213" w:customStyle="1">
    <w:name w:val="ListLabel 213"/>
    <w:qFormat/>
    <w:rPr>
      <w:rFonts w:eastAsia="Calibri"/>
      <w:b/>
      <w:color w:val="0000FF"/>
      <w:sz w:val="22"/>
      <w:u w:val="single"/>
      <w:lang w:eastAsia="el-GR"/>
    </w:rPr>
  </w:style>
  <w:style w:type="character" w:styleId="ListLabel212" w:customStyle="1">
    <w:name w:val="ListLabel 212"/>
    <w:qFormat/>
    <w:rPr>
      <w:rFonts w:eastAsia="Calibri"/>
      <w:b/>
      <w:sz w:val="22"/>
      <w:lang w:eastAsia="en-US"/>
    </w:rPr>
  </w:style>
  <w:style w:type="character" w:styleId="ListLabel211" w:customStyle="1">
    <w:name w:val="ListLabel 211"/>
    <w:qFormat/>
    <w:rPr>
      <w:rFonts w:eastAsia="Calibri"/>
      <w:b/>
      <w:sz w:val="22"/>
    </w:rPr>
  </w:style>
  <w:style w:type="character" w:styleId="ListLabel210" w:customStyle="1">
    <w:name w:val="ListLabel 210"/>
    <w:qFormat/>
    <w:rPr>
      <w:rFonts w:eastAsia="Calibri"/>
      <w:b/>
      <w:sz w:val="22"/>
      <w:lang w:eastAsia="el-GR"/>
    </w:rPr>
  </w:style>
  <w:style w:type="character" w:styleId="ListLabel209" w:customStyle="1">
    <w:name w:val="ListLabel 209"/>
    <w:qFormat/>
    <w:rPr>
      <w:rFonts w:eastAsia="Calibri"/>
      <w:b/>
      <w:sz w:val="22"/>
      <w:lang w:eastAsia="el-GR"/>
    </w:rPr>
  </w:style>
  <w:style w:type="character" w:styleId="ListLabel208" w:customStyle="1">
    <w:name w:val="ListLabel 208"/>
    <w:qFormat/>
    <w:rPr>
      <w:rFonts w:eastAsia="Calibri"/>
      <w:b/>
      <w:sz w:val="22"/>
      <w:lang w:eastAsia="el-GR"/>
    </w:rPr>
  </w:style>
  <w:style w:type="character" w:styleId="ListLabel207" w:customStyle="1">
    <w:name w:val="ListLabel 207"/>
    <w:qFormat/>
    <w:rPr>
      <w:rFonts w:eastAsia="Calibri"/>
      <w:b/>
      <w:sz w:val="22"/>
      <w:lang w:eastAsia="el-GR"/>
    </w:rPr>
  </w:style>
  <w:style w:type="character" w:styleId="ListLabel206" w:customStyle="1">
    <w:name w:val="ListLabel 206"/>
    <w:qFormat/>
    <w:rPr>
      <w:rFonts w:eastAsia="Calibri"/>
      <w:color w:val="0000FF"/>
      <w:sz w:val="22"/>
      <w:u w:val="single"/>
      <w:lang w:eastAsia="el-GR"/>
    </w:rPr>
  </w:style>
  <w:style w:type="character" w:styleId="ListLabel205" w:customStyle="1">
    <w:name w:val="ListLabel 205"/>
    <w:qFormat/>
    <w:rPr>
      <w:rFonts w:eastAsia="Calibri"/>
      <w:sz w:val="22"/>
    </w:rPr>
  </w:style>
  <w:style w:type="character" w:styleId="ListLabel204" w:customStyle="1">
    <w:name w:val="ListLabel 204"/>
    <w:qFormat/>
    <w:rPr>
      <w:rFonts w:eastAsia="Calibri"/>
      <w:sz w:val="22"/>
      <w:lang w:eastAsia="en-US"/>
    </w:rPr>
  </w:style>
  <w:style w:type="character" w:styleId="ListLabel203" w:customStyle="1">
    <w:name w:val="ListLabel 203"/>
    <w:qFormat/>
    <w:rPr>
      <w:rFonts w:eastAsia="Calibri"/>
    </w:rPr>
  </w:style>
  <w:style w:type="character" w:styleId="ListLabel202" w:customStyle="1">
    <w:name w:val="ListLabel 202"/>
    <w:qFormat/>
    <w:rPr>
      <w:rFonts w:eastAsia="Calibri"/>
      <w:lang w:eastAsia="en-US"/>
    </w:rPr>
  </w:style>
  <w:style w:type="character" w:styleId="ListLabel201" w:customStyle="1">
    <w:name w:val="ListLabel 201"/>
    <w:qFormat/>
    <w:rPr>
      <w:rFonts w:eastAsia="Wingdings"/>
    </w:rPr>
  </w:style>
  <w:style w:type="character" w:styleId="ListLabel200" w:customStyle="1">
    <w:name w:val="ListLabel 200"/>
    <w:qFormat/>
    <w:rPr>
      <w:rFonts w:eastAsia="Courier New"/>
    </w:rPr>
  </w:style>
  <w:style w:type="character" w:styleId="ListLabel199" w:customStyle="1">
    <w:name w:val="ListLabel 199"/>
    <w:qFormat/>
    <w:rPr>
      <w:rFonts w:eastAsia="Symbol"/>
    </w:rPr>
  </w:style>
  <w:style w:type="character" w:styleId="ListLabel198" w:customStyle="1">
    <w:name w:val="ListLabel 198"/>
    <w:qFormat/>
    <w:rPr>
      <w:rFonts w:eastAsia="Wingdings"/>
    </w:rPr>
  </w:style>
  <w:style w:type="character" w:styleId="ListLabel197" w:customStyle="1">
    <w:name w:val="ListLabel 197"/>
    <w:qFormat/>
    <w:rPr>
      <w:rFonts w:eastAsia="Courier New"/>
    </w:rPr>
  </w:style>
  <w:style w:type="character" w:styleId="ListLabel196" w:customStyle="1">
    <w:name w:val="ListLabel 196"/>
    <w:qFormat/>
    <w:rPr>
      <w:rFonts w:eastAsia="Symbol"/>
    </w:rPr>
  </w:style>
  <w:style w:type="character" w:styleId="41" w:customStyle="1">
    <w:name w:val="Παραπομπή υποσημείωσης4"/>
    <w:qFormat/>
    <w:rPr>
      <w:vertAlign w:val="superscript"/>
    </w:rPr>
  </w:style>
  <w:style w:type="character" w:styleId="3Char1" w:customStyle="1">
    <w:name w:val="Σώμα κείμενου με εσοχή 3 Char"/>
    <w:qFormat/>
    <w:rPr>
      <w:rFonts w:ascii="Calibri" w:hAnsi="Calibri" w:cs="Calibri"/>
      <w:sz w:val="16"/>
      <w:szCs w:val="16"/>
      <w:lang w:eastAsia="zh-CN" w:bidi="en-GB"/>
    </w:rPr>
  </w:style>
  <w:style w:type="character" w:styleId="Char9" w:customStyle="1">
    <w:name w:val="Κείμενο σχολίου Char"/>
    <w:qFormat/>
    <w:rPr>
      <w:rFonts w:ascii="Calibri" w:hAnsi="Calibri" w:eastAsia="Calibri"/>
      <w:sz w:val="24"/>
      <w:lang w:val="en-US" w:eastAsia="ja-JP"/>
    </w:rPr>
  </w:style>
  <w:style w:type="character" w:styleId="0" w:customStyle="1">
    <w:name w:val="Παραπομπή σημείωσης τέλους_0"/>
    <w:qFormat/>
    <w:rPr>
      <w:vertAlign w:val="superscript"/>
    </w:rPr>
  </w:style>
  <w:style w:type="character" w:styleId="WWEndnoteReference18" w:customStyle="1">
    <w:name w:val="WW-Endnote Reference18"/>
    <w:qFormat/>
    <w:rPr>
      <w:vertAlign w:val="superscript"/>
    </w:rPr>
  </w:style>
  <w:style w:type="character" w:styleId="WWFootnoteReference18" w:customStyle="1">
    <w:name w:val="WW-Footnote Reference18"/>
    <w:qFormat/>
    <w:rPr>
      <w:vertAlign w:val="superscript"/>
    </w:rPr>
  </w:style>
  <w:style w:type="character" w:styleId="32" w:customStyle="1">
    <w:name w:val="Παραπομπή σημείωσης τέλους3"/>
    <w:qFormat/>
    <w:rPr>
      <w:vertAlign w:val="superscript"/>
    </w:rPr>
  </w:style>
  <w:style w:type="character" w:styleId="WWEndnoteReference17" w:customStyle="1">
    <w:name w:val="WW-Endnote Reference17"/>
    <w:qFormat/>
    <w:rPr>
      <w:vertAlign w:val="superscript"/>
    </w:rPr>
  </w:style>
  <w:style w:type="character" w:styleId="WWEndnoteReference16" w:customStyle="1">
    <w:name w:val="WW-Endnote Reference16"/>
    <w:qFormat/>
    <w:rPr>
      <w:vertAlign w:val="superscript"/>
    </w:rPr>
  </w:style>
  <w:style w:type="character" w:styleId="WWEndnoteReference15" w:customStyle="1">
    <w:name w:val="WW-Endnote Reference15"/>
    <w:qFormat/>
    <w:rPr>
      <w:vertAlign w:val="superscript"/>
    </w:rPr>
  </w:style>
  <w:style w:type="character" w:styleId="WWFootnoteReference15" w:customStyle="1">
    <w:name w:val="WW-Footnote Reference15"/>
    <w:qFormat/>
    <w:rPr>
      <w:vertAlign w:val="superscript"/>
    </w:rPr>
  </w:style>
  <w:style w:type="character" w:styleId="Heading4Char" w:customStyle="1">
    <w:name w:val="Heading 4 Char"/>
    <w:qFormat/>
    <w:rPr>
      <w:rFonts w:ascii="Arial" w:hAnsi="Arial" w:eastAsia="Times New Roman"/>
      <w:b/>
      <w:sz w:val="22"/>
      <w:lang w:val="en-GB"/>
    </w:rPr>
  </w:style>
  <w:style w:type="character" w:styleId="Heading3Char" w:customStyle="1">
    <w:name w:val="Heading 3 Char"/>
    <w:qFormat/>
    <w:rPr>
      <w:rFonts w:ascii="Arial" w:hAnsi="Arial" w:eastAsia="Arial"/>
      <w:b/>
      <w:sz w:val="22"/>
      <w:lang w:val="en-GB"/>
    </w:rPr>
  </w:style>
  <w:style w:type="character" w:styleId="Heading5Char" w:customStyle="1">
    <w:name w:val="Heading 5 Char"/>
    <w:qFormat/>
    <w:rPr>
      <w:rFonts w:ascii="Calibri" w:hAnsi="Calibri" w:eastAsia="Times New Roman"/>
      <w:b/>
      <w:i/>
      <w:sz w:val="26"/>
      <w:lang w:val="en-GB"/>
    </w:rPr>
  </w:style>
  <w:style w:type="character" w:styleId="Heading1Char" w:customStyle="1">
    <w:name w:val="Heading 1 Char"/>
    <w:qFormat/>
    <w:rPr>
      <w:rFonts w:ascii="Arial" w:hAnsi="Arial" w:eastAsia="Arial"/>
      <w:b/>
      <w:color w:val="333399"/>
      <w:sz w:val="28"/>
      <w:lang w:val="en-US"/>
    </w:rPr>
  </w:style>
  <w:style w:type="character" w:styleId="WWDefaultParagraphFont111111111111111111" w:customStyle="1">
    <w:name w:val="WW-Default Paragraph Font111111111111111111"/>
    <w:qFormat/>
    <w:rPr/>
  </w:style>
  <w:style w:type="character" w:styleId="WWDefaultParagraphFont11111111111111111" w:customStyle="1">
    <w:name w:val="WW-Default Paragraph Font11111111111111111"/>
    <w:qFormat/>
    <w:rPr/>
  </w:style>
  <w:style w:type="character" w:styleId="WWDefaultParagraphFont1111111111111111" w:customStyle="1">
    <w:name w:val="WW-Default Paragraph Font1111111111111111"/>
    <w:qFormat/>
    <w:rPr/>
  </w:style>
  <w:style w:type="character" w:styleId="WWDefaultParagraphFont111111111111111" w:customStyle="1">
    <w:name w:val="WW-Default Paragraph Font111111111111111"/>
    <w:qFormat/>
    <w:rPr/>
  </w:style>
  <w:style w:type="character" w:styleId="42" w:customStyle="1">
    <w:name w:val="Προεπιλεγμένη γραμματοσειρά4"/>
    <w:qFormat/>
    <w:rPr/>
  </w:style>
  <w:style w:type="character" w:styleId="01" w:customStyle="1">
    <w:name w:val="Προεπιλεγμένη γραμματοσειρά_0"/>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IntenseEmphasis">
    <w:name w:val="Intense Emphasis"/>
    <w:qFormat/>
    <w:rPr>
      <w:b/>
      <w:i/>
      <w:color w:val="4F81BD"/>
    </w:rPr>
  </w:style>
  <w:style w:type="character" w:styleId="Heading4" w:customStyle="1">
    <w:name w:val="Heading #4"/>
    <w:qFormat/>
    <w:rPr>
      <w:rFonts w:ascii="Calibri" w:hAnsi="Calibri" w:eastAsia="Calibri"/>
      <w:b w:val="false"/>
      <w:i w:val="false"/>
      <w:caps w:val="false"/>
      <w:smallCaps w:val="false"/>
      <w:strike w:val="false"/>
      <w:dstrike w:val="false"/>
      <w:color w:val="000000"/>
      <w:spacing w:val="0"/>
      <w:w w:val="100"/>
      <w:sz w:val="21"/>
      <w:u w:val="none"/>
      <w:lang w:val="el-GR"/>
    </w:rPr>
  </w:style>
  <w:style w:type="character" w:styleId="Bodytext" w:customStyle="1">
    <w:name w:val="Body text_"/>
    <w:qFormat/>
    <w:rPr>
      <w:rFonts w:ascii="Calibri" w:hAnsi="Calibri" w:eastAsia="Calibri"/>
      <w:sz w:val="21"/>
      <w:highlight w:val="white"/>
    </w:rPr>
  </w:style>
  <w:style w:type="character" w:styleId="BodyText4" w:customStyle="1">
    <w:name w:val="Body Text4"/>
    <w:qFormat/>
    <w:rPr>
      <w:rFonts w:ascii="Calibri" w:hAnsi="Calibri" w:eastAsia="Calibri"/>
      <w:color w:val="000000"/>
      <w:spacing w:val="0"/>
      <w:w w:val="100"/>
      <w:sz w:val="21"/>
      <w:highlight w:val="white"/>
      <w:lang w:val="el-GR"/>
    </w:rPr>
  </w:style>
  <w:style w:type="character" w:styleId="Bodytext8" w:customStyle="1">
    <w:name w:val="Body text (8)_"/>
    <w:qFormat/>
    <w:rPr>
      <w:rFonts w:ascii="Calibri" w:hAnsi="Calibri" w:eastAsia="Calibri"/>
      <w:highlight w:val="white"/>
    </w:rPr>
  </w:style>
  <w:style w:type="character" w:styleId="33" w:customStyle="1">
    <w:name w:val="Παραπομπή υποσημείωσης3"/>
    <w:qFormat/>
    <w:rPr>
      <w:vertAlign w:val="superscript"/>
    </w:rPr>
  </w:style>
  <w:style w:type="character" w:styleId="WW" w:customStyle="1">
    <w:name w:val="WW-Παραπομπή υποσημείωσης"/>
    <w:qFormat/>
    <w:rPr>
      <w:vertAlign w:val="superscript"/>
    </w:rPr>
  </w:style>
  <w:style w:type="character" w:styleId="WWFootnoteReference19" w:customStyle="1">
    <w:name w:val="WW-Footnote Reference19"/>
    <w:qFormat/>
    <w:rPr>
      <w:vertAlign w:val="superscript"/>
    </w:rPr>
  </w:style>
  <w:style w:type="character" w:styleId="Style17" w:customStyle="1">
    <w:name w:val="Σώμα κειμένου_"/>
    <w:qFormat/>
    <w:rPr>
      <w:rFonts w:ascii="Arial" w:hAnsi="Arial" w:eastAsia="Arial"/>
      <w:highlight w:val="white"/>
    </w:rPr>
  </w:style>
  <w:style w:type="character" w:styleId="02" w:customStyle="1">
    <w:name w:val="Παραπομπή υποσημείωσης_0"/>
    <w:qFormat/>
    <w:rPr>
      <w:vertAlign w:val="superscript"/>
    </w:rPr>
  </w:style>
  <w:style w:type="character" w:styleId="Bodytext29" w:customStyle="1">
    <w:name w:val="Body text (2) + 9"/>
    <w:qFormat/>
    <w:rPr>
      <w:rFonts w:eastAsia="Calibri"/>
      <w:color w:val="000000"/>
      <w:spacing w:val="0"/>
      <w:w w:val="100"/>
      <w:sz w:val="19"/>
      <w:highlight w:val="white"/>
      <w:lang w:eastAsia="en-US"/>
    </w:rPr>
  </w:style>
  <w:style w:type="character" w:styleId="FontStyle45" w:customStyle="1">
    <w:name w:val="Font Style45"/>
    <w:qFormat/>
    <w:rPr>
      <w:rFonts w:ascii="Arial" w:hAnsi="Arial" w:eastAsia="Arial"/>
      <w:color w:val="000000"/>
      <w:sz w:val="20"/>
    </w:rPr>
  </w:style>
  <w:style w:type="character" w:styleId="FontStyle28" w:customStyle="1">
    <w:name w:val="Font Style28"/>
    <w:qFormat/>
    <w:rPr>
      <w:rFonts w:ascii="Arial" w:hAnsi="Arial" w:eastAsia="Arial"/>
      <w:b/>
      <w:color w:val="000000"/>
      <w:sz w:val="18"/>
    </w:rPr>
  </w:style>
  <w:style w:type="character" w:styleId="FontStyle26" w:customStyle="1">
    <w:name w:val="Font Style26"/>
    <w:qFormat/>
    <w:rPr>
      <w:rFonts w:ascii="Arial" w:hAnsi="Arial" w:eastAsia="Arial"/>
      <w:color w:val="000000"/>
      <w:sz w:val="18"/>
    </w:rPr>
  </w:style>
  <w:style w:type="character" w:styleId="WWFootnoteReference17" w:customStyle="1">
    <w:name w:val="WW-Footnote Reference17"/>
    <w:qFormat/>
    <w:rPr>
      <w:vertAlign w:val="superscript"/>
    </w:rPr>
  </w:style>
  <w:style w:type="character" w:styleId="2Char2" w:customStyle="1">
    <w:name w:val="Σώμα κείμενου με εσοχή 2 Char"/>
    <w:qFormat/>
    <w:rPr>
      <w:rFonts w:ascii="Calibri" w:hAnsi="Calibri" w:eastAsia="Calibri"/>
      <w:lang w:eastAsia="en-US"/>
    </w:rPr>
  </w:style>
  <w:style w:type="character" w:styleId="PlaceholderText">
    <w:name w:val="Placeholder Text"/>
    <w:qFormat/>
    <w:rPr>
      <w:color w:val="808080"/>
    </w:rPr>
  </w:style>
  <w:style w:type="character" w:styleId="TabletextCharChar" w:customStyle="1">
    <w:name w:val="Table text Char Char"/>
    <w:qFormat/>
    <w:rPr>
      <w:rFonts w:ascii="Tahoma" w:hAnsi="Tahoma" w:cs="Tahoma"/>
      <w:sz w:val="20"/>
      <w:szCs w:val="24"/>
      <w:lang w:eastAsia="en-US"/>
    </w:rPr>
  </w:style>
  <w:style w:type="character" w:styleId="Bodytext2" w:customStyle="1">
    <w:name w:val="Body text (2)_"/>
    <w:qFormat/>
    <w:rPr>
      <w:highlight w:val="white"/>
    </w:rPr>
  </w:style>
  <w:style w:type="character" w:styleId="3Char2" w:customStyle="1">
    <w:name w:val="Σώμα κείμενου 3 Char"/>
    <w:qFormat/>
    <w:rPr>
      <w:rFonts w:ascii="Calibri" w:hAnsi="Calibri" w:eastAsia="Calibri"/>
      <w:sz w:val="16"/>
      <w:lang w:eastAsia="en-US"/>
    </w:rPr>
  </w:style>
  <w:style w:type="character" w:styleId="St" w:customStyle="1">
    <w:name w:val="st"/>
    <w:qFormat/>
    <w:rPr/>
  </w:style>
  <w:style w:type="character" w:styleId="9Char" w:customStyle="1">
    <w:name w:val="Επικεφαλίδα 9 Char"/>
    <w:qFormat/>
    <w:rPr>
      <w:rFonts w:eastAsia="Arial"/>
      <w:lang w:eastAsia="en-US"/>
    </w:rPr>
  </w:style>
  <w:style w:type="character" w:styleId="8Char" w:customStyle="1">
    <w:name w:val="Επικεφαλίδα 8 Char"/>
    <w:qFormat/>
    <w:rPr>
      <w:i/>
      <w:sz w:val="24"/>
      <w:lang w:eastAsia="en-US"/>
    </w:rPr>
  </w:style>
  <w:style w:type="character" w:styleId="Char10" w:customStyle="1">
    <w:name w:val="Υπότιτλος Char"/>
    <w:qFormat/>
    <w:rPr>
      <w:rFonts w:ascii="Cambria" w:hAnsi="Cambria" w:eastAsia="Times New Roman"/>
      <w:i/>
      <w:color w:val="4F81BD"/>
      <w:spacing w:val="15"/>
      <w:sz w:val="24"/>
      <w:lang w:val="en-GB" w:eastAsia="zh-CN"/>
    </w:rPr>
  </w:style>
  <w:style w:type="character" w:styleId="2Char3" w:customStyle="1">
    <w:name w:val="Σώμα κείμενου 2 Char"/>
    <w:qFormat/>
    <w:rPr>
      <w:rFonts w:ascii="Calibri" w:hAnsi="Calibri" w:eastAsia="Calibri"/>
      <w:sz w:val="24"/>
      <w:lang w:val="en-GB" w:eastAsia="zh-CN"/>
    </w:rPr>
  </w:style>
  <w:style w:type="character" w:styleId="Char15" w:customStyle="1">
    <w:name w:val="Θέμα σχολίου Char"/>
    <w:qFormat/>
    <w:rPr>
      <w:rFonts w:ascii="Calibri" w:hAnsi="Calibri" w:cs="Calibri"/>
      <w:b/>
      <w:lang w:bidi="en-GB"/>
    </w:rPr>
  </w:style>
  <w:style w:type="character" w:styleId="ListLabel2311" w:customStyle="1">
    <w:name w:val="ListLabel 2311"/>
    <w:qFormat/>
    <w:rPr>
      <w:rFonts w:ascii="Calibri" w:hAnsi="Calibri" w:cs="Times New Roman"/>
      <w:sz w:val="22"/>
    </w:rPr>
  </w:style>
  <w:style w:type="character" w:styleId="ListLabel2312" w:customStyle="1">
    <w:name w:val="ListLabel 2312"/>
    <w:qFormat/>
    <w:rPr>
      <w:rFonts w:ascii="Calibri" w:hAnsi="Calibri" w:cs="Symbol"/>
      <w:strike/>
      <w:color w:val="0070C0"/>
      <w:kern w:val="2"/>
      <w:position w:val="0"/>
      <w:sz w:val="24"/>
      <w:sz w:val="24"/>
      <w:vertAlign w:val="baseline"/>
    </w:rPr>
  </w:style>
  <w:style w:type="character" w:styleId="ListLabel2313" w:customStyle="1">
    <w:name w:val="ListLabel 2313"/>
    <w:qFormat/>
    <w:rPr>
      <w:rFonts w:cs="Calibri"/>
    </w:rPr>
  </w:style>
  <w:style w:type="character" w:styleId="ListLabel2314" w:customStyle="1">
    <w:name w:val="ListLabel 2314"/>
    <w:qFormat/>
    <w:rPr>
      <w:rFonts w:cs="Courier New"/>
    </w:rPr>
  </w:style>
  <w:style w:type="character" w:styleId="ListLabel2315" w:customStyle="1">
    <w:name w:val="ListLabel 2315"/>
    <w:qFormat/>
    <w:rPr>
      <w:rFonts w:cs="Wingdings"/>
    </w:rPr>
  </w:style>
  <w:style w:type="character" w:styleId="ListLabel2316" w:customStyle="1">
    <w:name w:val="ListLabel 2316"/>
    <w:qFormat/>
    <w:rPr>
      <w:rFonts w:cs="Symbol"/>
    </w:rPr>
  </w:style>
  <w:style w:type="character" w:styleId="ListLabel2317" w:customStyle="1">
    <w:name w:val="ListLabel 2317"/>
    <w:qFormat/>
    <w:rPr>
      <w:rFonts w:cs="Courier New"/>
    </w:rPr>
  </w:style>
  <w:style w:type="character" w:styleId="ListLabel2318" w:customStyle="1">
    <w:name w:val="ListLabel 2318"/>
    <w:qFormat/>
    <w:rPr>
      <w:rFonts w:cs="Wingdings"/>
    </w:rPr>
  </w:style>
  <w:style w:type="character" w:styleId="ListLabel2319" w:customStyle="1">
    <w:name w:val="ListLabel 2319"/>
    <w:qFormat/>
    <w:rPr>
      <w:rFonts w:cs="Symbol"/>
    </w:rPr>
  </w:style>
  <w:style w:type="character" w:styleId="ListLabel2320" w:customStyle="1">
    <w:name w:val="ListLabel 2320"/>
    <w:qFormat/>
    <w:rPr>
      <w:rFonts w:cs="Courier New"/>
    </w:rPr>
  </w:style>
  <w:style w:type="character" w:styleId="ListLabel2321" w:customStyle="1">
    <w:name w:val="ListLabel 2321"/>
    <w:qFormat/>
    <w:rPr>
      <w:rFonts w:cs="Wingdings"/>
    </w:rPr>
  </w:style>
  <w:style w:type="character" w:styleId="ListLabel2322" w:customStyle="1">
    <w:name w:val="ListLabel 2322"/>
    <w:qFormat/>
    <w:rPr>
      <w:rFonts w:cs="Times New Roman"/>
    </w:rPr>
  </w:style>
  <w:style w:type="character" w:styleId="ListLabel2323" w:customStyle="1">
    <w:name w:val="ListLabel 2323"/>
    <w:qFormat/>
    <w:rPr>
      <w:rFonts w:cs="Times New Roman"/>
    </w:rPr>
  </w:style>
  <w:style w:type="character" w:styleId="ListLabel2324" w:customStyle="1">
    <w:name w:val="ListLabel 2324"/>
    <w:qFormat/>
    <w:rPr>
      <w:rFonts w:cs="Times New Roman"/>
    </w:rPr>
  </w:style>
  <w:style w:type="character" w:styleId="ListLabel2325" w:customStyle="1">
    <w:name w:val="ListLabel 2325"/>
    <w:qFormat/>
    <w:rPr>
      <w:rFonts w:cs="Times New Roman"/>
    </w:rPr>
  </w:style>
  <w:style w:type="character" w:styleId="ListLabel2326" w:customStyle="1">
    <w:name w:val="ListLabel 2326"/>
    <w:qFormat/>
    <w:rPr>
      <w:rFonts w:cs="Times New Roman"/>
    </w:rPr>
  </w:style>
  <w:style w:type="character" w:styleId="ListLabel2327" w:customStyle="1">
    <w:name w:val="ListLabel 2327"/>
    <w:qFormat/>
    <w:rPr>
      <w:rFonts w:cs="Times New Roman"/>
    </w:rPr>
  </w:style>
  <w:style w:type="character" w:styleId="ListLabel2328" w:customStyle="1">
    <w:name w:val="ListLabel 2328"/>
    <w:qFormat/>
    <w:rPr>
      <w:rFonts w:cs="Times New Roman"/>
    </w:rPr>
  </w:style>
  <w:style w:type="character" w:styleId="ListLabel2329" w:customStyle="1">
    <w:name w:val="ListLabel 2329"/>
    <w:qFormat/>
    <w:rPr>
      <w:rFonts w:cs="Times New Roman"/>
    </w:rPr>
  </w:style>
  <w:style w:type="character" w:styleId="ListLabel2330" w:customStyle="1">
    <w:name w:val="ListLabel 2330"/>
    <w:qFormat/>
    <w:rPr>
      <w:rFonts w:cs="Times New Roman"/>
    </w:rPr>
  </w:style>
  <w:style w:type="character" w:styleId="ListLabel2331" w:customStyle="1">
    <w:name w:val="ListLabel 2331"/>
    <w:qFormat/>
    <w:rPr>
      <w:rFonts w:cs="Wingdings"/>
      <w:color w:val="auto"/>
    </w:rPr>
  </w:style>
  <w:style w:type="character" w:styleId="ListLabel2332" w:customStyle="1">
    <w:name w:val="ListLabel 2332"/>
    <w:qFormat/>
    <w:rPr>
      <w:rFonts w:cs="Courier New"/>
    </w:rPr>
  </w:style>
  <w:style w:type="character" w:styleId="ListLabel2333" w:customStyle="1">
    <w:name w:val="ListLabel 2333"/>
    <w:qFormat/>
    <w:rPr>
      <w:rFonts w:cs="Wingdings"/>
    </w:rPr>
  </w:style>
  <w:style w:type="character" w:styleId="ListLabel2334" w:customStyle="1">
    <w:name w:val="ListLabel 2334"/>
    <w:qFormat/>
    <w:rPr>
      <w:rFonts w:cs="Symbol"/>
    </w:rPr>
  </w:style>
  <w:style w:type="character" w:styleId="ListLabel2335" w:customStyle="1">
    <w:name w:val="ListLabel 2335"/>
    <w:qFormat/>
    <w:rPr>
      <w:rFonts w:cs="Courier New"/>
    </w:rPr>
  </w:style>
  <w:style w:type="character" w:styleId="ListLabel2336" w:customStyle="1">
    <w:name w:val="ListLabel 2336"/>
    <w:qFormat/>
    <w:rPr>
      <w:rFonts w:cs="Wingdings"/>
    </w:rPr>
  </w:style>
  <w:style w:type="character" w:styleId="ListLabel2337" w:customStyle="1">
    <w:name w:val="ListLabel 2337"/>
    <w:qFormat/>
    <w:rPr>
      <w:rFonts w:cs="Symbol"/>
    </w:rPr>
  </w:style>
  <w:style w:type="character" w:styleId="ListLabel2338" w:customStyle="1">
    <w:name w:val="ListLabel 2338"/>
    <w:qFormat/>
    <w:rPr>
      <w:rFonts w:cs="Courier New"/>
    </w:rPr>
  </w:style>
  <w:style w:type="character" w:styleId="ListLabel2339" w:customStyle="1">
    <w:name w:val="ListLabel 2339"/>
    <w:qFormat/>
    <w:rPr>
      <w:rFonts w:cs="Wingdings"/>
    </w:rPr>
  </w:style>
  <w:style w:type="character" w:styleId="ListLabel2340" w:customStyle="1">
    <w:name w:val="ListLabel 2340"/>
    <w:qFormat/>
    <w:rPr>
      <w:rFonts w:cs="Times New Roman"/>
    </w:rPr>
  </w:style>
  <w:style w:type="character" w:styleId="ListLabel2341" w:customStyle="1">
    <w:name w:val="ListLabel 2341"/>
    <w:qFormat/>
    <w:rPr>
      <w:rFonts w:cs="Times New Roman"/>
    </w:rPr>
  </w:style>
  <w:style w:type="character" w:styleId="ListLabel2342" w:customStyle="1">
    <w:name w:val="ListLabel 2342"/>
    <w:qFormat/>
    <w:rPr>
      <w:rFonts w:cs="Times New Roman"/>
    </w:rPr>
  </w:style>
  <w:style w:type="character" w:styleId="ListLabel2343" w:customStyle="1">
    <w:name w:val="ListLabel 2343"/>
    <w:qFormat/>
    <w:rPr>
      <w:rFonts w:cs="Times New Roman"/>
    </w:rPr>
  </w:style>
  <w:style w:type="character" w:styleId="ListLabel2344" w:customStyle="1">
    <w:name w:val="ListLabel 2344"/>
    <w:qFormat/>
    <w:rPr>
      <w:rFonts w:cs="Times New Roman"/>
    </w:rPr>
  </w:style>
  <w:style w:type="character" w:styleId="ListLabel2345" w:customStyle="1">
    <w:name w:val="ListLabel 2345"/>
    <w:qFormat/>
    <w:rPr>
      <w:rFonts w:cs="Times New Roman"/>
    </w:rPr>
  </w:style>
  <w:style w:type="character" w:styleId="ListLabel2346" w:customStyle="1">
    <w:name w:val="ListLabel 2346"/>
    <w:qFormat/>
    <w:rPr>
      <w:rFonts w:cs="Times New Roman"/>
    </w:rPr>
  </w:style>
  <w:style w:type="character" w:styleId="ListLabel2347" w:customStyle="1">
    <w:name w:val="ListLabel 2347"/>
    <w:qFormat/>
    <w:rPr>
      <w:rFonts w:cs="Times New Roman"/>
    </w:rPr>
  </w:style>
  <w:style w:type="character" w:styleId="ListLabel2348" w:customStyle="1">
    <w:name w:val="ListLabel 2348"/>
    <w:qFormat/>
    <w:rPr>
      <w:rFonts w:cs="Times New Roman"/>
    </w:rPr>
  </w:style>
  <w:style w:type="character" w:styleId="ListLabel2349" w:customStyle="1">
    <w:name w:val="ListLabel 2349"/>
    <w:qFormat/>
    <w:rPr>
      <w:rFonts w:cs="Symbol"/>
      <w:b/>
    </w:rPr>
  </w:style>
  <w:style w:type="character" w:styleId="ListLabel2350" w:customStyle="1">
    <w:name w:val="ListLabel 2350"/>
    <w:qFormat/>
    <w:rPr>
      <w:rFonts w:cs="Courier New"/>
    </w:rPr>
  </w:style>
  <w:style w:type="character" w:styleId="ListLabel2351" w:customStyle="1">
    <w:name w:val="ListLabel 2351"/>
    <w:qFormat/>
    <w:rPr>
      <w:rFonts w:cs="Wingdings"/>
    </w:rPr>
  </w:style>
  <w:style w:type="character" w:styleId="ListLabel2352" w:customStyle="1">
    <w:name w:val="ListLabel 2352"/>
    <w:qFormat/>
    <w:rPr>
      <w:rFonts w:cs="Symbol"/>
    </w:rPr>
  </w:style>
  <w:style w:type="character" w:styleId="ListLabel2353" w:customStyle="1">
    <w:name w:val="ListLabel 2353"/>
    <w:qFormat/>
    <w:rPr>
      <w:rFonts w:cs="Courier New"/>
    </w:rPr>
  </w:style>
  <w:style w:type="character" w:styleId="ListLabel2354" w:customStyle="1">
    <w:name w:val="ListLabel 2354"/>
    <w:qFormat/>
    <w:rPr>
      <w:rFonts w:cs="Wingdings"/>
    </w:rPr>
  </w:style>
  <w:style w:type="character" w:styleId="ListLabel2355" w:customStyle="1">
    <w:name w:val="ListLabel 2355"/>
    <w:qFormat/>
    <w:rPr>
      <w:rFonts w:cs="Symbol"/>
    </w:rPr>
  </w:style>
  <w:style w:type="character" w:styleId="ListLabel2356" w:customStyle="1">
    <w:name w:val="ListLabel 2356"/>
    <w:qFormat/>
    <w:rPr>
      <w:rFonts w:cs="Courier New"/>
    </w:rPr>
  </w:style>
  <w:style w:type="character" w:styleId="ListLabel2357" w:customStyle="1">
    <w:name w:val="ListLabel 2357"/>
    <w:qFormat/>
    <w:rPr>
      <w:rFonts w:cs="Wingdings"/>
    </w:rPr>
  </w:style>
  <w:style w:type="character" w:styleId="ListLabel2358" w:customStyle="1">
    <w:name w:val="ListLabel 2358"/>
    <w:qFormat/>
    <w:rPr>
      <w:rFonts w:cs="Symbol"/>
      <w:strike/>
      <w:color w:val="0070C0"/>
      <w:kern w:val="2"/>
      <w:position w:val="0"/>
      <w:sz w:val="24"/>
      <w:sz w:val="24"/>
      <w:vertAlign w:val="baseline"/>
      <w:lang w:val="el-GR"/>
    </w:rPr>
  </w:style>
  <w:style w:type="character" w:styleId="ListLabel2359" w:customStyle="1">
    <w:name w:val="ListLabel 2359"/>
    <w:qFormat/>
    <w:rPr>
      <w:rFonts w:cs="Courier New"/>
    </w:rPr>
  </w:style>
  <w:style w:type="character" w:styleId="ListLabel2360" w:customStyle="1">
    <w:name w:val="ListLabel 2360"/>
    <w:qFormat/>
    <w:rPr>
      <w:rFonts w:cs="Wingdings"/>
      <w:sz w:val="20"/>
    </w:rPr>
  </w:style>
  <w:style w:type="character" w:styleId="ListLabel2361" w:customStyle="1">
    <w:name w:val="ListLabel 2361"/>
    <w:qFormat/>
    <w:rPr>
      <w:rFonts w:cs="Wingdings"/>
      <w:sz w:val="20"/>
    </w:rPr>
  </w:style>
  <w:style w:type="character" w:styleId="ListLabel2362" w:customStyle="1">
    <w:name w:val="ListLabel 2362"/>
    <w:qFormat/>
    <w:rPr>
      <w:rFonts w:cs="Wingdings"/>
      <w:sz w:val="20"/>
    </w:rPr>
  </w:style>
  <w:style w:type="character" w:styleId="ListLabel2363" w:customStyle="1">
    <w:name w:val="ListLabel 2363"/>
    <w:qFormat/>
    <w:rPr>
      <w:rFonts w:cs="Wingdings"/>
      <w:sz w:val="20"/>
    </w:rPr>
  </w:style>
  <w:style w:type="character" w:styleId="ListLabel2364" w:customStyle="1">
    <w:name w:val="ListLabel 2364"/>
    <w:qFormat/>
    <w:rPr>
      <w:rFonts w:cs="Wingdings"/>
      <w:sz w:val="20"/>
    </w:rPr>
  </w:style>
  <w:style w:type="character" w:styleId="ListLabel2365" w:customStyle="1">
    <w:name w:val="ListLabel 2365"/>
    <w:qFormat/>
    <w:rPr>
      <w:rFonts w:cs="Wingdings"/>
      <w:sz w:val="20"/>
    </w:rPr>
  </w:style>
  <w:style w:type="character" w:styleId="ListLabel2366" w:customStyle="1">
    <w:name w:val="ListLabel 2366"/>
    <w:qFormat/>
    <w:rPr>
      <w:rFonts w:cs="Wingdings"/>
      <w:sz w:val="20"/>
    </w:rPr>
  </w:style>
  <w:style w:type="character" w:styleId="ListLabel2367" w:customStyle="1">
    <w:name w:val="ListLabel 2367"/>
    <w:qFormat/>
    <w:rPr>
      <w:rFonts w:ascii="Calibri" w:hAnsi="Calibri"/>
      <w:b/>
      <w:bCs/>
    </w:rPr>
  </w:style>
  <w:style w:type="character" w:styleId="ListLabel2368" w:customStyle="1">
    <w:name w:val="ListLabel 2368"/>
    <w:qFormat/>
    <w:rPr>
      <w:rFonts w:cs="Wingdings"/>
      <w:b/>
      <w:sz w:val="22"/>
    </w:rPr>
  </w:style>
  <w:style w:type="character" w:styleId="ListLabel2369" w:customStyle="1">
    <w:name w:val="ListLabel 2369"/>
    <w:qFormat/>
    <w:rPr>
      <w:rFonts w:cs="Courier New"/>
    </w:rPr>
  </w:style>
  <w:style w:type="character" w:styleId="ListLabel2370" w:customStyle="1">
    <w:name w:val="ListLabel 2370"/>
    <w:qFormat/>
    <w:rPr>
      <w:rFonts w:cs="Wingdings"/>
    </w:rPr>
  </w:style>
  <w:style w:type="character" w:styleId="ListLabel2371" w:customStyle="1">
    <w:name w:val="ListLabel 2371"/>
    <w:qFormat/>
    <w:rPr>
      <w:rFonts w:cs="Symbol"/>
    </w:rPr>
  </w:style>
  <w:style w:type="character" w:styleId="ListLabel2372" w:customStyle="1">
    <w:name w:val="ListLabel 2372"/>
    <w:qFormat/>
    <w:rPr>
      <w:rFonts w:cs="Courier New"/>
    </w:rPr>
  </w:style>
  <w:style w:type="character" w:styleId="ListLabel2373" w:customStyle="1">
    <w:name w:val="ListLabel 2373"/>
    <w:qFormat/>
    <w:rPr>
      <w:rFonts w:cs="Wingdings"/>
    </w:rPr>
  </w:style>
  <w:style w:type="character" w:styleId="ListLabel2374" w:customStyle="1">
    <w:name w:val="ListLabel 2374"/>
    <w:qFormat/>
    <w:rPr>
      <w:rFonts w:cs="Symbol"/>
    </w:rPr>
  </w:style>
  <w:style w:type="character" w:styleId="ListLabel2375" w:customStyle="1">
    <w:name w:val="ListLabel 2375"/>
    <w:qFormat/>
    <w:rPr>
      <w:rFonts w:cs="Courier New"/>
    </w:rPr>
  </w:style>
  <w:style w:type="character" w:styleId="ListLabel2376" w:customStyle="1">
    <w:name w:val="ListLabel 2376"/>
    <w:qFormat/>
    <w:rPr>
      <w:rFonts w:cs="Wingdings"/>
    </w:rPr>
  </w:style>
  <w:style w:type="character" w:styleId="ListLabel2377" w:customStyle="1">
    <w:name w:val="ListLabel 2377"/>
    <w:qFormat/>
    <w:rPr>
      <w:rFonts w:eastAsia="Arial Unicode MS" w:cs="Calibri"/>
      <w:szCs w:val="22"/>
      <w:lang w:val="en-US"/>
    </w:rPr>
  </w:style>
  <w:style w:type="character" w:styleId="ListLabel2378" w:customStyle="1">
    <w:name w:val="ListLabel 2378"/>
    <w:qFormat/>
    <w:rPr/>
  </w:style>
  <w:style w:type="character" w:styleId="ListLabel2379" w:customStyle="1">
    <w:name w:val="ListLabel 2379"/>
    <w:qFormat/>
    <w:rPr>
      <w:rFonts w:eastAsia="Arial Unicode MS" w:cs="Calibri"/>
      <w:szCs w:val="22"/>
    </w:rPr>
  </w:style>
  <w:style w:type="character" w:styleId="ListLabel2380" w:customStyle="1">
    <w:name w:val="ListLabel 2380"/>
    <w:qFormat/>
    <w:rPr>
      <w:rFonts w:eastAsia="Arial Unicode MS" w:cs="Calibri"/>
      <w:szCs w:val="22"/>
      <w:lang w:val="el-GR"/>
    </w:rPr>
  </w:style>
  <w:style w:type="character" w:styleId="ListLabel2381" w:customStyle="1">
    <w:name w:val="ListLabel 2381"/>
    <w:qFormat/>
    <w:rPr>
      <w:rFonts w:cs="Calibri"/>
    </w:rPr>
  </w:style>
  <w:style w:type="character" w:styleId="ListLabel2382" w:customStyle="1">
    <w:name w:val="ListLabel 2382"/>
    <w:qFormat/>
    <w:rPr>
      <w:rFonts w:cs="Calibri"/>
      <w:lang w:val="el-GR"/>
    </w:rPr>
  </w:style>
  <w:style w:type="character" w:styleId="ListLabel2383" w:customStyle="1">
    <w:name w:val="ListLabel 2383"/>
    <w:qFormat/>
    <w:rPr>
      <w:rFonts w:eastAsia="Arial Unicode MS" w:cs="Calibri"/>
      <w:bCs/>
      <w:szCs w:val="22"/>
      <w:lang w:val="en-US"/>
    </w:rPr>
  </w:style>
  <w:style w:type="character" w:styleId="ListLabel2384" w:customStyle="1">
    <w:name w:val="ListLabel 2384"/>
    <w:qFormat/>
    <w:rPr>
      <w:rFonts w:eastAsia="Arial Unicode MS" w:cs="Calibri"/>
      <w:bCs/>
      <w:szCs w:val="22"/>
      <w:lang w:val="el-GR"/>
    </w:rPr>
  </w:style>
  <w:style w:type="character" w:styleId="ListLabel2385" w:customStyle="1">
    <w:name w:val="ListLabel 2385"/>
    <w:qFormat/>
    <w:rPr>
      <w:rFonts w:cs="Tahoma"/>
      <w:i/>
      <w:iCs/>
      <w:color w:val="auto"/>
      <w:sz w:val="22"/>
      <w:szCs w:val="22"/>
    </w:rPr>
  </w:style>
  <w:style w:type="character" w:styleId="ListLabel2386" w:customStyle="1">
    <w:name w:val="ListLabel 2386"/>
    <w:qFormat/>
    <w:rPr>
      <w:rFonts w:cs="Tahoma"/>
      <w:color w:val="auto"/>
      <w:sz w:val="22"/>
      <w:szCs w:val="22"/>
      <w:lang w:val="el-GR"/>
    </w:rPr>
  </w:style>
  <w:style w:type="character" w:styleId="ListLabel2387" w:customStyle="1">
    <w:name w:val="ListLabel 2387"/>
    <w:qFormat/>
    <w:rPr>
      <w:rFonts w:ascii="Calibri" w:hAnsi="Calibri" w:cs="Calibri"/>
      <w:sz w:val="22"/>
      <w:szCs w:val="22"/>
    </w:rPr>
  </w:style>
  <w:style w:type="character" w:styleId="ListLabel2388" w:customStyle="1">
    <w:name w:val="ListLabel 2388"/>
    <w:qFormat/>
    <w:rPr>
      <w:rFonts w:eastAsia="Arial Unicode MS" w:cs="Calibri"/>
    </w:rPr>
  </w:style>
  <w:style w:type="character" w:styleId="ListLabel2389" w:customStyle="1">
    <w:name w:val="ListLabel 2389"/>
    <w:qFormat/>
    <w:rPr>
      <w:rFonts w:ascii="Calibri" w:hAnsi="Calibri" w:cs="Times New Roman"/>
      <w:sz w:val="22"/>
    </w:rPr>
  </w:style>
  <w:style w:type="character" w:styleId="ListLabel2390" w:customStyle="1">
    <w:name w:val="ListLabel 2390"/>
    <w:qFormat/>
    <w:rPr>
      <w:rFonts w:ascii="Calibri" w:hAnsi="Calibri" w:cs="Symbol"/>
      <w:strike/>
      <w:color w:val="0070C0"/>
      <w:kern w:val="2"/>
      <w:position w:val="0"/>
      <w:sz w:val="24"/>
      <w:sz w:val="24"/>
      <w:vertAlign w:val="baseline"/>
    </w:rPr>
  </w:style>
  <w:style w:type="character" w:styleId="ListLabel2391" w:customStyle="1">
    <w:name w:val="ListLabel 2391"/>
    <w:qFormat/>
    <w:rPr>
      <w:rFonts w:cs="Calibri"/>
    </w:rPr>
  </w:style>
  <w:style w:type="character" w:styleId="ListLabel2392" w:customStyle="1">
    <w:name w:val="ListLabel 2392"/>
    <w:qFormat/>
    <w:rPr>
      <w:rFonts w:cs="Courier New"/>
    </w:rPr>
  </w:style>
  <w:style w:type="character" w:styleId="ListLabel2393" w:customStyle="1">
    <w:name w:val="ListLabel 2393"/>
    <w:qFormat/>
    <w:rPr>
      <w:rFonts w:cs="Wingdings"/>
    </w:rPr>
  </w:style>
  <w:style w:type="character" w:styleId="ListLabel2394" w:customStyle="1">
    <w:name w:val="ListLabel 2394"/>
    <w:qFormat/>
    <w:rPr>
      <w:rFonts w:cs="Symbol"/>
    </w:rPr>
  </w:style>
  <w:style w:type="character" w:styleId="ListLabel2395" w:customStyle="1">
    <w:name w:val="ListLabel 2395"/>
    <w:qFormat/>
    <w:rPr>
      <w:rFonts w:cs="Courier New"/>
    </w:rPr>
  </w:style>
  <w:style w:type="character" w:styleId="ListLabel2396" w:customStyle="1">
    <w:name w:val="ListLabel 2396"/>
    <w:qFormat/>
    <w:rPr>
      <w:rFonts w:cs="Wingdings"/>
    </w:rPr>
  </w:style>
  <w:style w:type="character" w:styleId="ListLabel2397" w:customStyle="1">
    <w:name w:val="ListLabel 2397"/>
    <w:qFormat/>
    <w:rPr>
      <w:rFonts w:cs="Symbol"/>
    </w:rPr>
  </w:style>
  <w:style w:type="character" w:styleId="ListLabel2398" w:customStyle="1">
    <w:name w:val="ListLabel 2398"/>
    <w:qFormat/>
    <w:rPr>
      <w:rFonts w:cs="Courier New"/>
    </w:rPr>
  </w:style>
  <w:style w:type="character" w:styleId="ListLabel2399" w:customStyle="1">
    <w:name w:val="ListLabel 2399"/>
    <w:qFormat/>
    <w:rPr>
      <w:rFonts w:cs="Wingdings"/>
    </w:rPr>
  </w:style>
  <w:style w:type="character" w:styleId="ListLabel2400" w:customStyle="1">
    <w:name w:val="ListLabel 2400"/>
    <w:qFormat/>
    <w:rPr>
      <w:rFonts w:cs="Times New Roman"/>
    </w:rPr>
  </w:style>
  <w:style w:type="character" w:styleId="ListLabel2401" w:customStyle="1">
    <w:name w:val="ListLabel 2401"/>
    <w:qFormat/>
    <w:rPr>
      <w:rFonts w:cs="Times New Roman"/>
    </w:rPr>
  </w:style>
  <w:style w:type="character" w:styleId="ListLabel2402" w:customStyle="1">
    <w:name w:val="ListLabel 2402"/>
    <w:qFormat/>
    <w:rPr>
      <w:rFonts w:cs="Times New Roman"/>
    </w:rPr>
  </w:style>
  <w:style w:type="character" w:styleId="ListLabel2403" w:customStyle="1">
    <w:name w:val="ListLabel 2403"/>
    <w:qFormat/>
    <w:rPr>
      <w:rFonts w:cs="Times New Roman"/>
    </w:rPr>
  </w:style>
  <w:style w:type="character" w:styleId="ListLabel2404" w:customStyle="1">
    <w:name w:val="ListLabel 2404"/>
    <w:qFormat/>
    <w:rPr>
      <w:rFonts w:cs="Times New Roman"/>
    </w:rPr>
  </w:style>
  <w:style w:type="character" w:styleId="ListLabel2405" w:customStyle="1">
    <w:name w:val="ListLabel 2405"/>
    <w:qFormat/>
    <w:rPr>
      <w:rFonts w:cs="Times New Roman"/>
    </w:rPr>
  </w:style>
  <w:style w:type="character" w:styleId="ListLabel2406" w:customStyle="1">
    <w:name w:val="ListLabel 2406"/>
    <w:qFormat/>
    <w:rPr>
      <w:rFonts w:cs="Times New Roman"/>
    </w:rPr>
  </w:style>
  <w:style w:type="character" w:styleId="ListLabel2407" w:customStyle="1">
    <w:name w:val="ListLabel 2407"/>
    <w:qFormat/>
    <w:rPr>
      <w:rFonts w:cs="Times New Roman"/>
    </w:rPr>
  </w:style>
  <w:style w:type="character" w:styleId="ListLabel2408" w:customStyle="1">
    <w:name w:val="ListLabel 2408"/>
    <w:qFormat/>
    <w:rPr>
      <w:rFonts w:cs="Times New Roman"/>
    </w:rPr>
  </w:style>
  <w:style w:type="character" w:styleId="ListLabel2409" w:customStyle="1">
    <w:name w:val="ListLabel 2409"/>
    <w:qFormat/>
    <w:rPr>
      <w:rFonts w:cs="Wingdings"/>
      <w:color w:val="auto"/>
    </w:rPr>
  </w:style>
  <w:style w:type="character" w:styleId="ListLabel2410" w:customStyle="1">
    <w:name w:val="ListLabel 2410"/>
    <w:qFormat/>
    <w:rPr>
      <w:rFonts w:cs="Courier New"/>
    </w:rPr>
  </w:style>
  <w:style w:type="character" w:styleId="ListLabel2411" w:customStyle="1">
    <w:name w:val="ListLabel 2411"/>
    <w:qFormat/>
    <w:rPr>
      <w:rFonts w:cs="Wingdings"/>
    </w:rPr>
  </w:style>
  <w:style w:type="character" w:styleId="ListLabel2412" w:customStyle="1">
    <w:name w:val="ListLabel 2412"/>
    <w:qFormat/>
    <w:rPr>
      <w:rFonts w:cs="Symbol"/>
    </w:rPr>
  </w:style>
  <w:style w:type="character" w:styleId="ListLabel2413" w:customStyle="1">
    <w:name w:val="ListLabel 2413"/>
    <w:qFormat/>
    <w:rPr>
      <w:rFonts w:cs="Courier New"/>
    </w:rPr>
  </w:style>
  <w:style w:type="character" w:styleId="ListLabel2414" w:customStyle="1">
    <w:name w:val="ListLabel 2414"/>
    <w:qFormat/>
    <w:rPr>
      <w:rFonts w:cs="Wingdings"/>
    </w:rPr>
  </w:style>
  <w:style w:type="character" w:styleId="ListLabel2415" w:customStyle="1">
    <w:name w:val="ListLabel 2415"/>
    <w:qFormat/>
    <w:rPr>
      <w:rFonts w:cs="Symbol"/>
    </w:rPr>
  </w:style>
  <w:style w:type="character" w:styleId="ListLabel2416" w:customStyle="1">
    <w:name w:val="ListLabel 2416"/>
    <w:qFormat/>
    <w:rPr>
      <w:rFonts w:cs="Courier New"/>
    </w:rPr>
  </w:style>
  <w:style w:type="character" w:styleId="ListLabel2417" w:customStyle="1">
    <w:name w:val="ListLabel 2417"/>
    <w:qFormat/>
    <w:rPr>
      <w:rFonts w:cs="Wingdings"/>
    </w:rPr>
  </w:style>
  <w:style w:type="character" w:styleId="ListLabel2418" w:customStyle="1">
    <w:name w:val="ListLabel 2418"/>
    <w:qFormat/>
    <w:rPr>
      <w:rFonts w:cs="Times New Roman"/>
    </w:rPr>
  </w:style>
  <w:style w:type="character" w:styleId="ListLabel2419" w:customStyle="1">
    <w:name w:val="ListLabel 2419"/>
    <w:qFormat/>
    <w:rPr>
      <w:rFonts w:cs="Times New Roman"/>
    </w:rPr>
  </w:style>
  <w:style w:type="character" w:styleId="ListLabel2420" w:customStyle="1">
    <w:name w:val="ListLabel 2420"/>
    <w:qFormat/>
    <w:rPr>
      <w:rFonts w:cs="Times New Roman"/>
    </w:rPr>
  </w:style>
  <w:style w:type="character" w:styleId="ListLabel2421" w:customStyle="1">
    <w:name w:val="ListLabel 2421"/>
    <w:qFormat/>
    <w:rPr>
      <w:rFonts w:cs="Times New Roman"/>
    </w:rPr>
  </w:style>
  <w:style w:type="character" w:styleId="ListLabel2422" w:customStyle="1">
    <w:name w:val="ListLabel 2422"/>
    <w:qFormat/>
    <w:rPr>
      <w:rFonts w:cs="Times New Roman"/>
    </w:rPr>
  </w:style>
  <w:style w:type="character" w:styleId="ListLabel2423" w:customStyle="1">
    <w:name w:val="ListLabel 2423"/>
    <w:qFormat/>
    <w:rPr>
      <w:rFonts w:cs="Times New Roman"/>
    </w:rPr>
  </w:style>
  <w:style w:type="character" w:styleId="ListLabel2424" w:customStyle="1">
    <w:name w:val="ListLabel 2424"/>
    <w:qFormat/>
    <w:rPr>
      <w:rFonts w:cs="Times New Roman"/>
    </w:rPr>
  </w:style>
  <w:style w:type="character" w:styleId="ListLabel2425" w:customStyle="1">
    <w:name w:val="ListLabel 2425"/>
    <w:qFormat/>
    <w:rPr>
      <w:rFonts w:cs="Times New Roman"/>
    </w:rPr>
  </w:style>
  <w:style w:type="character" w:styleId="ListLabel2426" w:customStyle="1">
    <w:name w:val="ListLabel 2426"/>
    <w:qFormat/>
    <w:rPr>
      <w:rFonts w:cs="Times New Roman"/>
    </w:rPr>
  </w:style>
  <w:style w:type="character" w:styleId="ListLabel2427" w:customStyle="1">
    <w:name w:val="ListLabel 2427"/>
    <w:qFormat/>
    <w:rPr>
      <w:rFonts w:cs="Symbol"/>
      <w:b/>
    </w:rPr>
  </w:style>
  <w:style w:type="character" w:styleId="ListLabel2428" w:customStyle="1">
    <w:name w:val="ListLabel 2428"/>
    <w:qFormat/>
    <w:rPr>
      <w:rFonts w:cs="Courier New"/>
    </w:rPr>
  </w:style>
  <w:style w:type="character" w:styleId="ListLabel2429" w:customStyle="1">
    <w:name w:val="ListLabel 2429"/>
    <w:qFormat/>
    <w:rPr>
      <w:rFonts w:cs="Wingdings"/>
    </w:rPr>
  </w:style>
  <w:style w:type="character" w:styleId="ListLabel2430" w:customStyle="1">
    <w:name w:val="ListLabel 2430"/>
    <w:qFormat/>
    <w:rPr>
      <w:rFonts w:cs="Symbol"/>
    </w:rPr>
  </w:style>
  <w:style w:type="character" w:styleId="ListLabel2431" w:customStyle="1">
    <w:name w:val="ListLabel 2431"/>
    <w:qFormat/>
    <w:rPr>
      <w:rFonts w:cs="Courier New"/>
    </w:rPr>
  </w:style>
  <w:style w:type="character" w:styleId="ListLabel2432" w:customStyle="1">
    <w:name w:val="ListLabel 2432"/>
    <w:qFormat/>
    <w:rPr>
      <w:rFonts w:cs="Wingdings"/>
    </w:rPr>
  </w:style>
  <w:style w:type="character" w:styleId="ListLabel2433" w:customStyle="1">
    <w:name w:val="ListLabel 2433"/>
    <w:qFormat/>
    <w:rPr>
      <w:rFonts w:cs="Symbol"/>
    </w:rPr>
  </w:style>
  <w:style w:type="character" w:styleId="ListLabel2434" w:customStyle="1">
    <w:name w:val="ListLabel 2434"/>
    <w:qFormat/>
    <w:rPr>
      <w:rFonts w:cs="Courier New"/>
    </w:rPr>
  </w:style>
  <w:style w:type="character" w:styleId="ListLabel2435" w:customStyle="1">
    <w:name w:val="ListLabel 2435"/>
    <w:qFormat/>
    <w:rPr>
      <w:rFonts w:cs="Wingdings"/>
    </w:rPr>
  </w:style>
  <w:style w:type="character" w:styleId="ListLabel2436" w:customStyle="1">
    <w:name w:val="ListLabel 2436"/>
    <w:qFormat/>
    <w:rPr>
      <w:rFonts w:cs="Symbol"/>
      <w:strike/>
      <w:color w:val="0070C0"/>
      <w:kern w:val="2"/>
      <w:position w:val="0"/>
      <w:sz w:val="24"/>
      <w:sz w:val="24"/>
      <w:vertAlign w:val="baseline"/>
      <w:lang w:val="el-GR"/>
    </w:rPr>
  </w:style>
  <w:style w:type="character" w:styleId="ListLabel2437" w:customStyle="1">
    <w:name w:val="ListLabel 2437"/>
    <w:qFormat/>
    <w:rPr>
      <w:rFonts w:cs="Courier New"/>
    </w:rPr>
  </w:style>
  <w:style w:type="character" w:styleId="ListLabel2438" w:customStyle="1">
    <w:name w:val="ListLabel 2438"/>
    <w:qFormat/>
    <w:rPr>
      <w:rFonts w:cs="Wingdings"/>
      <w:sz w:val="20"/>
    </w:rPr>
  </w:style>
  <w:style w:type="character" w:styleId="ListLabel2439" w:customStyle="1">
    <w:name w:val="ListLabel 2439"/>
    <w:qFormat/>
    <w:rPr>
      <w:rFonts w:cs="Wingdings"/>
      <w:sz w:val="20"/>
    </w:rPr>
  </w:style>
  <w:style w:type="character" w:styleId="ListLabel2440" w:customStyle="1">
    <w:name w:val="ListLabel 2440"/>
    <w:qFormat/>
    <w:rPr>
      <w:rFonts w:cs="Wingdings"/>
      <w:sz w:val="20"/>
    </w:rPr>
  </w:style>
  <w:style w:type="character" w:styleId="ListLabel2441" w:customStyle="1">
    <w:name w:val="ListLabel 2441"/>
    <w:qFormat/>
    <w:rPr>
      <w:rFonts w:cs="Wingdings"/>
      <w:sz w:val="20"/>
    </w:rPr>
  </w:style>
  <w:style w:type="character" w:styleId="ListLabel2442" w:customStyle="1">
    <w:name w:val="ListLabel 2442"/>
    <w:qFormat/>
    <w:rPr>
      <w:rFonts w:cs="Wingdings"/>
      <w:sz w:val="20"/>
    </w:rPr>
  </w:style>
  <w:style w:type="character" w:styleId="ListLabel2443" w:customStyle="1">
    <w:name w:val="ListLabel 2443"/>
    <w:qFormat/>
    <w:rPr>
      <w:rFonts w:cs="Wingdings"/>
      <w:sz w:val="20"/>
    </w:rPr>
  </w:style>
  <w:style w:type="character" w:styleId="ListLabel2444" w:customStyle="1">
    <w:name w:val="ListLabel 2444"/>
    <w:qFormat/>
    <w:rPr>
      <w:rFonts w:cs="Wingdings"/>
      <w:sz w:val="20"/>
    </w:rPr>
  </w:style>
  <w:style w:type="character" w:styleId="ListLabel2445" w:customStyle="1">
    <w:name w:val="ListLabel 2445"/>
    <w:qFormat/>
    <w:rPr>
      <w:rFonts w:ascii="Calibri" w:hAnsi="Calibri"/>
      <w:b/>
      <w:bCs/>
    </w:rPr>
  </w:style>
  <w:style w:type="character" w:styleId="ListLabel2446" w:customStyle="1">
    <w:name w:val="ListLabel 2446"/>
    <w:qFormat/>
    <w:rPr>
      <w:rFonts w:cs="Wingdings"/>
      <w:b/>
      <w:sz w:val="22"/>
    </w:rPr>
  </w:style>
  <w:style w:type="character" w:styleId="ListLabel2447" w:customStyle="1">
    <w:name w:val="ListLabel 2447"/>
    <w:qFormat/>
    <w:rPr>
      <w:rFonts w:cs="Courier New"/>
    </w:rPr>
  </w:style>
  <w:style w:type="character" w:styleId="ListLabel2448" w:customStyle="1">
    <w:name w:val="ListLabel 2448"/>
    <w:qFormat/>
    <w:rPr>
      <w:rFonts w:cs="Wingdings"/>
    </w:rPr>
  </w:style>
  <w:style w:type="character" w:styleId="ListLabel2449" w:customStyle="1">
    <w:name w:val="ListLabel 2449"/>
    <w:qFormat/>
    <w:rPr>
      <w:rFonts w:cs="Symbol"/>
    </w:rPr>
  </w:style>
  <w:style w:type="character" w:styleId="ListLabel2450" w:customStyle="1">
    <w:name w:val="ListLabel 2450"/>
    <w:qFormat/>
    <w:rPr>
      <w:rFonts w:cs="Courier New"/>
    </w:rPr>
  </w:style>
  <w:style w:type="character" w:styleId="ListLabel2451" w:customStyle="1">
    <w:name w:val="ListLabel 2451"/>
    <w:qFormat/>
    <w:rPr>
      <w:rFonts w:cs="Wingdings"/>
    </w:rPr>
  </w:style>
  <w:style w:type="character" w:styleId="ListLabel2452" w:customStyle="1">
    <w:name w:val="ListLabel 2452"/>
    <w:qFormat/>
    <w:rPr>
      <w:rFonts w:cs="Symbol"/>
    </w:rPr>
  </w:style>
  <w:style w:type="character" w:styleId="ListLabel2453" w:customStyle="1">
    <w:name w:val="ListLabel 2453"/>
    <w:qFormat/>
    <w:rPr>
      <w:rFonts w:cs="Courier New"/>
    </w:rPr>
  </w:style>
  <w:style w:type="character" w:styleId="ListLabel2454" w:customStyle="1">
    <w:name w:val="ListLabel 2454"/>
    <w:qFormat/>
    <w:rPr>
      <w:rFonts w:cs="Wingdings"/>
    </w:rPr>
  </w:style>
  <w:style w:type="character" w:styleId="ListLabel2455" w:customStyle="1">
    <w:name w:val="ListLabel 2455"/>
    <w:qFormat/>
    <w:rPr>
      <w:rFonts w:eastAsia="Arial Unicode MS" w:cs="Calibri"/>
      <w:szCs w:val="22"/>
      <w:lang w:val="en-US"/>
    </w:rPr>
  </w:style>
  <w:style w:type="character" w:styleId="ListLabel2456" w:customStyle="1">
    <w:name w:val="ListLabel 2456"/>
    <w:qFormat/>
    <w:rPr/>
  </w:style>
  <w:style w:type="character" w:styleId="ListLabel2457" w:customStyle="1">
    <w:name w:val="ListLabel 2457"/>
    <w:qFormat/>
    <w:rPr>
      <w:rFonts w:eastAsia="Arial Unicode MS" w:cs="Calibri"/>
      <w:szCs w:val="22"/>
    </w:rPr>
  </w:style>
  <w:style w:type="character" w:styleId="ListLabel2458" w:customStyle="1">
    <w:name w:val="ListLabel 2458"/>
    <w:qFormat/>
    <w:rPr>
      <w:rFonts w:eastAsia="Arial Unicode MS" w:cs="Calibri"/>
      <w:szCs w:val="22"/>
      <w:lang w:val="el-GR"/>
    </w:rPr>
  </w:style>
  <w:style w:type="character" w:styleId="ListLabel2459" w:customStyle="1">
    <w:name w:val="ListLabel 2459"/>
    <w:qFormat/>
    <w:rPr>
      <w:rFonts w:cs="Calibri"/>
    </w:rPr>
  </w:style>
  <w:style w:type="character" w:styleId="ListLabel2460" w:customStyle="1">
    <w:name w:val="ListLabel 2460"/>
    <w:qFormat/>
    <w:rPr>
      <w:rFonts w:cs="Calibri"/>
      <w:lang w:val="el-GR"/>
    </w:rPr>
  </w:style>
  <w:style w:type="character" w:styleId="ListLabel2461" w:customStyle="1">
    <w:name w:val="ListLabel 2461"/>
    <w:qFormat/>
    <w:rPr>
      <w:rFonts w:eastAsia="Arial Unicode MS" w:cs="Calibri"/>
      <w:bCs/>
      <w:szCs w:val="22"/>
      <w:lang w:val="en-US"/>
    </w:rPr>
  </w:style>
  <w:style w:type="character" w:styleId="ListLabel2462" w:customStyle="1">
    <w:name w:val="ListLabel 2462"/>
    <w:qFormat/>
    <w:rPr>
      <w:rFonts w:eastAsia="Arial Unicode MS" w:cs="Calibri"/>
      <w:bCs/>
      <w:szCs w:val="22"/>
      <w:lang w:val="el-GR"/>
    </w:rPr>
  </w:style>
  <w:style w:type="character" w:styleId="ListLabel2463" w:customStyle="1">
    <w:name w:val="ListLabel 2463"/>
    <w:qFormat/>
    <w:rPr>
      <w:rFonts w:cs="Tahoma"/>
      <w:i/>
      <w:iCs/>
      <w:color w:val="auto"/>
      <w:sz w:val="22"/>
      <w:szCs w:val="22"/>
    </w:rPr>
  </w:style>
  <w:style w:type="character" w:styleId="ListLabel2464" w:customStyle="1">
    <w:name w:val="ListLabel 2464"/>
    <w:qFormat/>
    <w:rPr>
      <w:rFonts w:cs="Tahoma"/>
      <w:color w:val="auto"/>
      <w:sz w:val="22"/>
      <w:szCs w:val="22"/>
      <w:lang w:val="el-GR"/>
    </w:rPr>
  </w:style>
  <w:style w:type="character" w:styleId="ListLabel2465" w:customStyle="1">
    <w:name w:val="ListLabel 2465"/>
    <w:qFormat/>
    <w:rPr>
      <w:rFonts w:ascii="Calibri" w:hAnsi="Calibri" w:cs="Calibri"/>
      <w:sz w:val="22"/>
      <w:szCs w:val="22"/>
    </w:rPr>
  </w:style>
  <w:style w:type="character" w:styleId="ListLabel2466" w:customStyle="1">
    <w:name w:val="ListLabel 2466"/>
    <w:qFormat/>
    <w:rPr>
      <w:rFonts w:eastAsia="Arial Unicode MS" w:cs="Calibri"/>
    </w:rPr>
  </w:style>
  <w:style w:type="character" w:styleId="ListLabel2467" w:customStyle="1">
    <w:name w:val="ListLabel 2467"/>
    <w:qFormat/>
    <w:rPr>
      <w:rFonts w:ascii="Calibri" w:hAnsi="Calibri" w:cs="Times New Roman"/>
      <w:sz w:val="22"/>
    </w:rPr>
  </w:style>
  <w:style w:type="character" w:styleId="ListLabel2468" w:customStyle="1">
    <w:name w:val="ListLabel 2468"/>
    <w:qFormat/>
    <w:rPr>
      <w:rFonts w:ascii="Calibri" w:hAnsi="Calibri" w:cs="Symbol"/>
      <w:strike/>
      <w:color w:val="0070C0"/>
      <w:kern w:val="2"/>
      <w:position w:val="0"/>
      <w:sz w:val="24"/>
      <w:sz w:val="24"/>
      <w:vertAlign w:val="baseline"/>
    </w:rPr>
  </w:style>
  <w:style w:type="character" w:styleId="ListLabel2469" w:customStyle="1">
    <w:name w:val="ListLabel 2469"/>
    <w:qFormat/>
    <w:rPr>
      <w:rFonts w:cs="Calibri"/>
    </w:rPr>
  </w:style>
  <w:style w:type="character" w:styleId="ListLabel2470" w:customStyle="1">
    <w:name w:val="ListLabel 2470"/>
    <w:qFormat/>
    <w:rPr>
      <w:rFonts w:cs="Courier New"/>
    </w:rPr>
  </w:style>
  <w:style w:type="character" w:styleId="ListLabel2471" w:customStyle="1">
    <w:name w:val="ListLabel 2471"/>
    <w:qFormat/>
    <w:rPr>
      <w:rFonts w:cs="Wingdings"/>
    </w:rPr>
  </w:style>
  <w:style w:type="character" w:styleId="ListLabel2472" w:customStyle="1">
    <w:name w:val="ListLabel 2472"/>
    <w:qFormat/>
    <w:rPr>
      <w:rFonts w:cs="Symbol"/>
    </w:rPr>
  </w:style>
  <w:style w:type="character" w:styleId="ListLabel2473" w:customStyle="1">
    <w:name w:val="ListLabel 2473"/>
    <w:qFormat/>
    <w:rPr>
      <w:rFonts w:cs="Courier New"/>
    </w:rPr>
  </w:style>
  <w:style w:type="character" w:styleId="ListLabel2474" w:customStyle="1">
    <w:name w:val="ListLabel 2474"/>
    <w:qFormat/>
    <w:rPr>
      <w:rFonts w:cs="Wingdings"/>
    </w:rPr>
  </w:style>
  <w:style w:type="character" w:styleId="ListLabel2475" w:customStyle="1">
    <w:name w:val="ListLabel 2475"/>
    <w:qFormat/>
    <w:rPr>
      <w:rFonts w:cs="Symbol"/>
    </w:rPr>
  </w:style>
  <w:style w:type="character" w:styleId="ListLabel2476" w:customStyle="1">
    <w:name w:val="ListLabel 2476"/>
    <w:qFormat/>
    <w:rPr>
      <w:rFonts w:cs="Courier New"/>
    </w:rPr>
  </w:style>
  <w:style w:type="character" w:styleId="ListLabel2477" w:customStyle="1">
    <w:name w:val="ListLabel 2477"/>
    <w:qFormat/>
    <w:rPr>
      <w:rFonts w:cs="Wingdings"/>
    </w:rPr>
  </w:style>
  <w:style w:type="character" w:styleId="ListLabel2478" w:customStyle="1">
    <w:name w:val="ListLabel 2478"/>
    <w:qFormat/>
    <w:rPr>
      <w:rFonts w:cs="Times New Roman"/>
    </w:rPr>
  </w:style>
  <w:style w:type="character" w:styleId="ListLabel2479" w:customStyle="1">
    <w:name w:val="ListLabel 2479"/>
    <w:qFormat/>
    <w:rPr>
      <w:rFonts w:cs="Times New Roman"/>
    </w:rPr>
  </w:style>
  <w:style w:type="character" w:styleId="ListLabel2480" w:customStyle="1">
    <w:name w:val="ListLabel 2480"/>
    <w:qFormat/>
    <w:rPr>
      <w:rFonts w:cs="Times New Roman"/>
    </w:rPr>
  </w:style>
  <w:style w:type="character" w:styleId="ListLabel2481" w:customStyle="1">
    <w:name w:val="ListLabel 2481"/>
    <w:qFormat/>
    <w:rPr>
      <w:rFonts w:cs="Times New Roman"/>
    </w:rPr>
  </w:style>
  <w:style w:type="character" w:styleId="ListLabel2482" w:customStyle="1">
    <w:name w:val="ListLabel 2482"/>
    <w:qFormat/>
    <w:rPr>
      <w:rFonts w:cs="Times New Roman"/>
    </w:rPr>
  </w:style>
  <w:style w:type="character" w:styleId="ListLabel2483" w:customStyle="1">
    <w:name w:val="ListLabel 2483"/>
    <w:qFormat/>
    <w:rPr>
      <w:rFonts w:cs="Times New Roman"/>
    </w:rPr>
  </w:style>
  <w:style w:type="character" w:styleId="ListLabel2484" w:customStyle="1">
    <w:name w:val="ListLabel 2484"/>
    <w:qFormat/>
    <w:rPr>
      <w:rFonts w:cs="Times New Roman"/>
    </w:rPr>
  </w:style>
  <w:style w:type="character" w:styleId="ListLabel2485" w:customStyle="1">
    <w:name w:val="ListLabel 2485"/>
    <w:qFormat/>
    <w:rPr>
      <w:rFonts w:cs="Times New Roman"/>
    </w:rPr>
  </w:style>
  <w:style w:type="character" w:styleId="ListLabel2486" w:customStyle="1">
    <w:name w:val="ListLabel 2486"/>
    <w:qFormat/>
    <w:rPr>
      <w:rFonts w:cs="Times New Roman"/>
    </w:rPr>
  </w:style>
  <w:style w:type="character" w:styleId="ListLabel2487" w:customStyle="1">
    <w:name w:val="ListLabel 2487"/>
    <w:qFormat/>
    <w:rPr>
      <w:rFonts w:cs="Wingdings"/>
      <w:color w:val="auto"/>
    </w:rPr>
  </w:style>
  <w:style w:type="character" w:styleId="ListLabel2488" w:customStyle="1">
    <w:name w:val="ListLabel 2488"/>
    <w:qFormat/>
    <w:rPr>
      <w:rFonts w:cs="Courier New"/>
    </w:rPr>
  </w:style>
  <w:style w:type="character" w:styleId="ListLabel2489" w:customStyle="1">
    <w:name w:val="ListLabel 2489"/>
    <w:qFormat/>
    <w:rPr>
      <w:rFonts w:cs="Wingdings"/>
    </w:rPr>
  </w:style>
  <w:style w:type="character" w:styleId="ListLabel2490" w:customStyle="1">
    <w:name w:val="ListLabel 2490"/>
    <w:qFormat/>
    <w:rPr>
      <w:rFonts w:cs="Symbol"/>
    </w:rPr>
  </w:style>
  <w:style w:type="character" w:styleId="ListLabel2491" w:customStyle="1">
    <w:name w:val="ListLabel 2491"/>
    <w:qFormat/>
    <w:rPr>
      <w:rFonts w:cs="Courier New"/>
    </w:rPr>
  </w:style>
  <w:style w:type="character" w:styleId="ListLabel2492" w:customStyle="1">
    <w:name w:val="ListLabel 2492"/>
    <w:qFormat/>
    <w:rPr>
      <w:rFonts w:cs="Wingdings"/>
    </w:rPr>
  </w:style>
  <w:style w:type="character" w:styleId="ListLabel2493" w:customStyle="1">
    <w:name w:val="ListLabel 2493"/>
    <w:qFormat/>
    <w:rPr>
      <w:rFonts w:cs="Symbol"/>
    </w:rPr>
  </w:style>
  <w:style w:type="character" w:styleId="ListLabel2494" w:customStyle="1">
    <w:name w:val="ListLabel 2494"/>
    <w:qFormat/>
    <w:rPr>
      <w:rFonts w:cs="Courier New"/>
    </w:rPr>
  </w:style>
  <w:style w:type="character" w:styleId="ListLabel2495" w:customStyle="1">
    <w:name w:val="ListLabel 2495"/>
    <w:qFormat/>
    <w:rPr>
      <w:rFonts w:cs="Wingdings"/>
    </w:rPr>
  </w:style>
  <w:style w:type="character" w:styleId="ListLabel2496" w:customStyle="1">
    <w:name w:val="ListLabel 2496"/>
    <w:qFormat/>
    <w:rPr>
      <w:rFonts w:cs="Times New Roman"/>
    </w:rPr>
  </w:style>
  <w:style w:type="character" w:styleId="ListLabel2497" w:customStyle="1">
    <w:name w:val="ListLabel 2497"/>
    <w:qFormat/>
    <w:rPr>
      <w:rFonts w:cs="Times New Roman"/>
    </w:rPr>
  </w:style>
  <w:style w:type="character" w:styleId="ListLabel2498" w:customStyle="1">
    <w:name w:val="ListLabel 2498"/>
    <w:qFormat/>
    <w:rPr>
      <w:rFonts w:cs="Times New Roman"/>
    </w:rPr>
  </w:style>
  <w:style w:type="character" w:styleId="ListLabel2499" w:customStyle="1">
    <w:name w:val="ListLabel 2499"/>
    <w:qFormat/>
    <w:rPr>
      <w:rFonts w:cs="Times New Roman"/>
    </w:rPr>
  </w:style>
  <w:style w:type="character" w:styleId="ListLabel2500" w:customStyle="1">
    <w:name w:val="ListLabel 2500"/>
    <w:qFormat/>
    <w:rPr>
      <w:rFonts w:cs="Times New Roman"/>
    </w:rPr>
  </w:style>
  <w:style w:type="character" w:styleId="ListLabel2501" w:customStyle="1">
    <w:name w:val="ListLabel 2501"/>
    <w:qFormat/>
    <w:rPr>
      <w:rFonts w:cs="Times New Roman"/>
    </w:rPr>
  </w:style>
  <w:style w:type="character" w:styleId="ListLabel2502" w:customStyle="1">
    <w:name w:val="ListLabel 2502"/>
    <w:qFormat/>
    <w:rPr>
      <w:rFonts w:cs="Times New Roman"/>
    </w:rPr>
  </w:style>
  <w:style w:type="character" w:styleId="ListLabel2503" w:customStyle="1">
    <w:name w:val="ListLabel 2503"/>
    <w:qFormat/>
    <w:rPr>
      <w:rFonts w:cs="Times New Roman"/>
    </w:rPr>
  </w:style>
  <w:style w:type="character" w:styleId="ListLabel2504" w:customStyle="1">
    <w:name w:val="ListLabel 2504"/>
    <w:qFormat/>
    <w:rPr>
      <w:rFonts w:cs="Times New Roman"/>
    </w:rPr>
  </w:style>
  <w:style w:type="character" w:styleId="ListLabel2505" w:customStyle="1">
    <w:name w:val="ListLabel 2505"/>
    <w:qFormat/>
    <w:rPr>
      <w:rFonts w:cs="Symbol"/>
      <w:b/>
    </w:rPr>
  </w:style>
  <w:style w:type="character" w:styleId="ListLabel2506" w:customStyle="1">
    <w:name w:val="ListLabel 2506"/>
    <w:qFormat/>
    <w:rPr>
      <w:rFonts w:cs="Courier New"/>
    </w:rPr>
  </w:style>
  <w:style w:type="character" w:styleId="ListLabel2507" w:customStyle="1">
    <w:name w:val="ListLabel 2507"/>
    <w:qFormat/>
    <w:rPr>
      <w:rFonts w:cs="Wingdings"/>
    </w:rPr>
  </w:style>
  <w:style w:type="character" w:styleId="ListLabel2508" w:customStyle="1">
    <w:name w:val="ListLabel 2508"/>
    <w:qFormat/>
    <w:rPr>
      <w:rFonts w:cs="Symbol"/>
    </w:rPr>
  </w:style>
  <w:style w:type="character" w:styleId="ListLabel2509" w:customStyle="1">
    <w:name w:val="ListLabel 2509"/>
    <w:qFormat/>
    <w:rPr>
      <w:rFonts w:cs="Courier New"/>
    </w:rPr>
  </w:style>
  <w:style w:type="character" w:styleId="ListLabel2510" w:customStyle="1">
    <w:name w:val="ListLabel 2510"/>
    <w:qFormat/>
    <w:rPr>
      <w:rFonts w:cs="Wingdings"/>
    </w:rPr>
  </w:style>
  <w:style w:type="character" w:styleId="ListLabel2511" w:customStyle="1">
    <w:name w:val="ListLabel 2511"/>
    <w:qFormat/>
    <w:rPr>
      <w:rFonts w:cs="Symbol"/>
    </w:rPr>
  </w:style>
  <w:style w:type="character" w:styleId="ListLabel2512" w:customStyle="1">
    <w:name w:val="ListLabel 2512"/>
    <w:qFormat/>
    <w:rPr>
      <w:rFonts w:cs="Courier New"/>
    </w:rPr>
  </w:style>
  <w:style w:type="character" w:styleId="ListLabel2513" w:customStyle="1">
    <w:name w:val="ListLabel 2513"/>
    <w:qFormat/>
    <w:rPr>
      <w:rFonts w:cs="Wingdings"/>
    </w:rPr>
  </w:style>
  <w:style w:type="character" w:styleId="ListLabel2514" w:customStyle="1">
    <w:name w:val="ListLabel 2514"/>
    <w:qFormat/>
    <w:rPr>
      <w:rFonts w:cs="Symbol"/>
      <w:strike/>
      <w:color w:val="0070C0"/>
      <w:kern w:val="2"/>
      <w:position w:val="0"/>
      <w:sz w:val="24"/>
      <w:sz w:val="24"/>
      <w:vertAlign w:val="baseline"/>
      <w:lang w:val="el-GR"/>
    </w:rPr>
  </w:style>
  <w:style w:type="character" w:styleId="ListLabel2515" w:customStyle="1">
    <w:name w:val="ListLabel 2515"/>
    <w:qFormat/>
    <w:rPr>
      <w:rFonts w:cs="Courier New"/>
    </w:rPr>
  </w:style>
  <w:style w:type="character" w:styleId="ListLabel2516" w:customStyle="1">
    <w:name w:val="ListLabel 2516"/>
    <w:qFormat/>
    <w:rPr>
      <w:rFonts w:cs="Wingdings"/>
      <w:sz w:val="20"/>
    </w:rPr>
  </w:style>
  <w:style w:type="character" w:styleId="ListLabel2517" w:customStyle="1">
    <w:name w:val="ListLabel 2517"/>
    <w:qFormat/>
    <w:rPr>
      <w:rFonts w:cs="Wingdings"/>
      <w:sz w:val="20"/>
    </w:rPr>
  </w:style>
  <w:style w:type="character" w:styleId="ListLabel2518" w:customStyle="1">
    <w:name w:val="ListLabel 2518"/>
    <w:qFormat/>
    <w:rPr>
      <w:rFonts w:cs="Wingdings"/>
      <w:sz w:val="20"/>
    </w:rPr>
  </w:style>
  <w:style w:type="character" w:styleId="ListLabel2519" w:customStyle="1">
    <w:name w:val="ListLabel 2519"/>
    <w:qFormat/>
    <w:rPr>
      <w:rFonts w:cs="Wingdings"/>
      <w:sz w:val="20"/>
    </w:rPr>
  </w:style>
  <w:style w:type="character" w:styleId="ListLabel2520" w:customStyle="1">
    <w:name w:val="ListLabel 2520"/>
    <w:qFormat/>
    <w:rPr>
      <w:rFonts w:cs="Wingdings"/>
      <w:sz w:val="20"/>
    </w:rPr>
  </w:style>
  <w:style w:type="character" w:styleId="ListLabel2521" w:customStyle="1">
    <w:name w:val="ListLabel 2521"/>
    <w:qFormat/>
    <w:rPr>
      <w:rFonts w:cs="Wingdings"/>
      <w:sz w:val="20"/>
    </w:rPr>
  </w:style>
  <w:style w:type="character" w:styleId="ListLabel2522" w:customStyle="1">
    <w:name w:val="ListLabel 2522"/>
    <w:qFormat/>
    <w:rPr>
      <w:rFonts w:cs="Wingdings"/>
      <w:sz w:val="20"/>
    </w:rPr>
  </w:style>
  <w:style w:type="character" w:styleId="ListLabel2523" w:customStyle="1">
    <w:name w:val="ListLabel 2523"/>
    <w:qFormat/>
    <w:rPr>
      <w:rFonts w:ascii="Calibri" w:hAnsi="Calibri"/>
      <w:b/>
      <w:bCs/>
    </w:rPr>
  </w:style>
  <w:style w:type="character" w:styleId="ListLabel2524" w:customStyle="1">
    <w:name w:val="ListLabel 2524"/>
    <w:qFormat/>
    <w:rPr>
      <w:rFonts w:cs="Wingdings"/>
      <w:b/>
      <w:sz w:val="22"/>
    </w:rPr>
  </w:style>
  <w:style w:type="character" w:styleId="ListLabel2525" w:customStyle="1">
    <w:name w:val="ListLabel 2525"/>
    <w:qFormat/>
    <w:rPr>
      <w:rFonts w:cs="Courier New"/>
    </w:rPr>
  </w:style>
  <w:style w:type="character" w:styleId="ListLabel2526" w:customStyle="1">
    <w:name w:val="ListLabel 2526"/>
    <w:qFormat/>
    <w:rPr>
      <w:rFonts w:cs="Wingdings"/>
    </w:rPr>
  </w:style>
  <w:style w:type="character" w:styleId="ListLabel2527" w:customStyle="1">
    <w:name w:val="ListLabel 2527"/>
    <w:qFormat/>
    <w:rPr>
      <w:rFonts w:cs="Symbol"/>
    </w:rPr>
  </w:style>
  <w:style w:type="character" w:styleId="ListLabel2528" w:customStyle="1">
    <w:name w:val="ListLabel 2528"/>
    <w:qFormat/>
    <w:rPr>
      <w:rFonts w:cs="Courier New"/>
    </w:rPr>
  </w:style>
  <w:style w:type="character" w:styleId="ListLabel2529" w:customStyle="1">
    <w:name w:val="ListLabel 2529"/>
    <w:qFormat/>
    <w:rPr>
      <w:rFonts w:cs="Wingdings"/>
    </w:rPr>
  </w:style>
  <w:style w:type="character" w:styleId="ListLabel2530" w:customStyle="1">
    <w:name w:val="ListLabel 2530"/>
    <w:qFormat/>
    <w:rPr>
      <w:rFonts w:cs="Symbol"/>
    </w:rPr>
  </w:style>
  <w:style w:type="character" w:styleId="ListLabel2531" w:customStyle="1">
    <w:name w:val="ListLabel 2531"/>
    <w:qFormat/>
    <w:rPr>
      <w:rFonts w:cs="Courier New"/>
    </w:rPr>
  </w:style>
  <w:style w:type="character" w:styleId="ListLabel2532" w:customStyle="1">
    <w:name w:val="ListLabel 2532"/>
    <w:qFormat/>
    <w:rPr>
      <w:rFonts w:cs="Wingdings"/>
    </w:rPr>
  </w:style>
  <w:style w:type="character" w:styleId="ListLabel2533" w:customStyle="1">
    <w:name w:val="ListLabel 2533"/>
    <w:qFormat/>
    <w:rPr>
      <w:rFonts w:eastAsia="Arial Unicode MS" w:cs="Calibri"/>
      <w:szCs w:val="22"/>
      <w:lang w:val="en-US"/>
    </w:rPr>
  </w:style>
  <w:style w:type="character" w:styleId="ListLabel2534" w:customStyle="1">
    <w:name w:val="ListLabel 2534"/>
    <w:qFormat/>
    <w:rPr/>
  </w:style>
  <w:style w:type="character" w:styleId="ListLabel2535" w:customStyle="1">
    <w:name w:val="ListLabel 2535"/>
    <w:qFormat/>
    <w:rPr>
      <w:rFonts w:eastAsia="Arial Unicode MS" w:cs="Calibri"/>
      <w:szCs w:val="22"/>
    </w:rPr>
  </w:style>
  <w:style w:type="character" w:styleId="ListLabel2536" w:customStyle="1">
    <w:name w:val="ListLabel 2536"/>
    <w:qFormat/>
    <w:rPr>
      <w:rFonts w:eastAsia="Arial Unicode MS" w:cs="Calibri"/>
      <w:szCs w:val="22"/>
      <w:lang w:val="el-GR"/>
    </w:rPr>
  </w:style>
  <w:style w:type="character" w:styleId="ListLabel2537" w:customStyle="1">
    <w:name w:val="ListLabel 2537"/>
    <w:qFormat/>
    <w:rPr>
      <w:rFonts w:cs="Calibri"/>
    </w:rPr>
  </w:style>
  <w:style w:type="character" w:styleId="ListLabel2538" w:customStyle="1">
    <w:name w:val="ListLabel 2538"/>
    <w:qFormat/>
    <w:rPr>
      <w:rFonts w:cs="Calibri"/>
      <w:lang w:val="el-GR"/>
    </w:rPr>
  </w:style>
  <w:style w:type="character" w:styleId="ListLabel2539" w:customStyle="1">
    <w:name w:val="ListLabel 2539"/>
    <w:qFormat/>
    <w:rPr>
      <w:rFonts w:eastAsia="Arial Unicode MS" w:cs="Calibri"/>
      <w:bCs/>
      <w:szCs w:val="22"/>
      <w:lang w:val="en-US"/>
    </w:rPr>
  </w:style>
  <w:style w:type="character" w:styleId="ListLabel2540" w:customStyle="1">
    <w:name w:val="ListLabel 2540"/>
    <w:qFormat/>
    <w:rPr>
      <w:rFonts w:eastAsia="Arial Unicode MS" w:cs="Calibri"/>
      <w:bCs/>
      <w:szCs w:val="22"/>
      <w:lang w:val="el-GR"/>
    </w:rPr>
  </w:style>
  <w:style w:type="character" w:styleId="ListLabel2541" w:customStyle="1">
    <w:name w:val="ListLabel 2541"/>
    <w:qFormat/>
    <w:rPr>
      <w:rFonts w:cs="Tahoma"/>
      <w:i/>
      <w:iCs/>
      <w:color w:val="auto"/>
      <w:sz w:val="22"/>
      <w:szCs w:val="22"/>
    </w:rPr>
  </w:style>
  <w:style w:type="character" w:styleId="ListLabel2542" w:customStyle="1">
    <w:name w:val="ListLabel 2542"/>
    <w:qFormat/>
    <w:rPr>
      <w:rFonts w:cs="Tahoma"/>
      <w:color w:val="auto"/>
      <w:sz w:val="22"/>
      <w:szCs w:val="22"/>
      <w:lang w:val="el-GR"/>
    </w:rPr>
  </w:style>
  <w:style w:type="character" w:styleId="ListLabel2543" w:customStyle="1">
    <w:name w:val="ListLabel 2543"/>
    <w:qFormat/>
    <w:rPr>
      <w:rFonts w:ascii="Calibri" w:hAnsi="Calibri" w:cs="Calibri"/>
      <w:sz w:val="22"/>
      <w:szCs w:val="22"/>
    </w:rPr>
  </w:style>
  <w:style w:type="character" w:styleId="ListLabel2544" w:customStyle="1">
    <w:name w:val="ListLabel 2544"/>
    <w:qFormat/>
    <w:rPr>
      <w:rFonts w:eastAsia="Arial Unicode MS" w:cs="Calibri"/>
    </w:rPr>
  </w:style>
  <w:style w:type="character" w:styleId="ListLabel749" w:customStyle="1">
    <w:name w:val="ListLabel 749"/>
    <w:qFormat/>
    <w:rPr>
      <w:rFonts w:ascii="Times New Roman" w:hAnsi="Times New Roman" w:cs="Times New Roman"/>
      <w:sz w:val="24"/>
      <w:szCs w:val="24"/>
      <w:lang w:val="el-GR" w:eastAsia="el-GR"/>
    </w:rPr>
  </w:style>
  <w:style w:type="character" w:styleId="ListLabel2545" w:customStyle="1">
    <w:name w:val="ListLabel 2545"/>
    <w:qFormat/>
    <w:rPr>
      <w:rFonts w:cs="Times New Roman"/>
      <w:sz w:val="22"/>
    </w:rPr>
  </w:style>
  <w:style w:type="character" w:styleId="ListLabel2546" w:customStyle="1">
    <w:name w:val="ListLabel 2546"/>
    <w:qFormat/>
    <w:rPr>
      <w:rFonts w:cs="Symbol"/>
      <w:strike/>
      <w:color w:val="0070C0"/>
      <w:kern w:val="2"/>
      <w:position w:val="0"/>
      <w:sz w:val="24"/>
      <w:sz w:val="24"/>
      <w:vertAlign w:val="baseline"/>
    </w:rPr>
  </w:style>
  <w:style w:type="character" w:styleId="ListLabel2547" w:customStyle="1">
    <w:name w:val="ListLabel 2547"/>
    <w:qFormat/>
    <w:rPr>
      <w:rFonts w:cs="Calibri"/>
      <w:sz w:val="24"/>
    </w:rPr>
  </w:style>
  <w:style w:type="character" w:styleId="ListLabel2548" w:customStyle="1">
    <w:name w:val="ListLabel 2548"/>
    <w:qFormat/>
    <w:rPr>
      <w:rFonts w:cs="Courier New"/>
    </w:rPr>
  </w:style>
  <w:style w:type="character" w:styleId="ListLabel2549" w:customStyle="1">
    <w:name w:val="ListLabel 2549"/>
    <w:qFormat/>
    <w:rPr>
      <w:rFonts w:cs="Wingdings"/>
    </w:rPr>
  </w:style>
  <w:style w:type="character" w:styleId="ListLabel2550" w:customStyle="1">
    <w:name w:val="ListLabel 2550"/>
    <w:qFormat/>
    <w:rPr>
      <w:rFonts w:cs="Symbol"/>
    </w:rPr>
  </w:style>
  <w:style w:type="character" w:styleId="ListLabel2551" w:customStyle="1">
    <w:name w:val="ListLabel 2551"/>
    <w:qFormat/>
    <w:rPr>
      <w:rFonts w:cs="Courier New"/>
    </w:rPr>
  </w:style>
  <w:style w:type="character" w:styleId="ListLabel2552" w:customStyle="1">
    <w:name w:val="ListLabel 2552"/>
    <w:qFormat/>
    <w:rPr>
      <w:rFonts w:cs="Wingdings"/>
    </w:rPr>
  </w:style>
  <w:style w:type="character" w:styleId="ListLabel2553" w:customStyle="1">
    <w:name w:val="ListLabel 2553"/>
    <w:qFormat/>
    <w:rPr>
      <w:rFonts w:cs="Symbol"/>
    </w:rPr>
  </w:style>
  <w:style w:type="character" w:styleId="ListLabel2554" w:customStyle="1">
    <w:name w:val="ListLabel 2554"/>
    <w:qFormat/>
    <w:rPr>
      <w:rFonts w:cs="Courier New"/>
    </w:rPr>
  </w:style>
  <w:style w:type="character" w:styleId="ListLabel2555" w:customStyle="1">
    <w:name w:val="ListLabel 2555"/>
    <w:qFormat/>
    <w:rPr>
      <w:rFonts w:cs="Wingdings"/>
    </w:rPr>
  </w:style>
  <w:style w:type="character" w:styleId="ListLabel2556" w:customStyle="1">
    <w:name w:val="ListLabel 2556"/>
    <w:qFormat/>
    <w:rPr>
      <w:rFonts w:cs="Times New Roman"/>
    </w:rPr>
  </w:style>
  <w:style w:type="character" w:styleId="ListLabel2557" w:customStyle="1">
    <w:name w:val="ListLabel 2557"/>
    <w:qFormat/>
    <w:rPr>
      <w:rFonts w:cs="Times New Roman"/>
    </w:rPr>
  </w:style>
  <w:style w:type="character" w:styleId="ListLabel2558" w:customStyle="1">
    <w:name w:val="ListLabel 2558"/>
    <w:qFormat/>
    <w:rPr>
      <w:rFonts w:cs="Times New Roman"/>
    </w:rPr>
  </w:style>
  <w:style w:type="character" w:styleId="ListLabel2559" w:customStyle="1">
    <w:name w:val="ListLabel 2559"/>
    <w:qFormat/>
    <w:rPr>
      <w:rFonts w:cs="Times New Roman"/>
    </w:rPr>
  </w:style>
  <w:style w:type="character" w:styleId="ListLabel2560" w:customStyle="1">
    <w:name w:val="ListLabel 2560"/>
    <w:qFormat/>
    <w:rPr>
      <w:rFonts w:cs="Times New Roman"/>
    </w:rPr>
  </w:style>
  <w:style w:type="character" w:styleId="ListLabel2561" w:customStyle="1">
    <w:name w:val="ListLabel 2561"/>
    <w:qFormat/>
    <w:rPr>
      <w:rFonts w:cs="Times New Roman"/>
    </w:rPr>
  </w:style>
  <w:style w:type="character" w:styleId="ListLabel2562" w:customStyle="1">
    <w:name w:val="ListLabel 2562"/>
    <w:qFormat/>
    <w:rPr>
      <w:rFonts w:cs="Times New Roman"/>
    </w:rPr>
  </w:style>
  <w:style w:type="character" w:styleId="ListLabel2563" w:customStyle="1">
    <w:name w:val="ListLabel 2563"/>
    <w:qFormat/>
    <w:rPr>
      <w:rFonts w:cs="Times New Roman"/>
    </w:rPr>
  </w:style>
  <w:style w:type="character" w:styleId="ListLabel2564" w:customStyle="1">
    <w:name w:val="ListLabel 2564"/>
    <w:qFormat/>
    <w:rPr>
      <w:rFonts w:cs="Times New Roman"/>
    </w:rPr>
  </w:style>
  <w:style w:type="character" w:styleId="ListLabel2565" w:customStyle="1">
    <w:name w:val="ListLabel 2565"/>
    <w:qFormat/>
    <w:rPr>
      <w:rFonts w:cs="Wingdings"/>
      <w:color w:val="auto"/>
      <w:sz w:val="24"/>
    </w:rPr>
  </w:style>
  <w:style w:type="character" w:styleId="ListLabel2566" w:customStyle="1">
    <w:name w:val="ListLabel 2566"/>
    <w:qFormat/>
    <w:rPr>
      <w:rFonts w:cs="Courier New"/>
    </w:rPr>
  </w:style>
  <w:style w:type="character" w:styleId="ListLabel2567" w:customStyle="1">
    <w:name w:val="ListLabel 2567"/>
    <w:qFormat/>
    <w:rPr>
      <w:rFonts w:cs="Wingdings"/>
    </w:rPr>
  </w:style>
  <w:style w:type="character" w:styleId="ListLabel2568" w:customStyle="1">
    <w:name w:val="ListLabel 2568"/>
    <w:qFormat/>
    <w:rPr>
      <w:rFonts w:cs="Symbol"/>
    </w:rPr>
  </w:style>
  <w:style w:type="character" w:styleId="ListLabel2569" w:customStyle="1">
    <w:name w:val="ListLabel 2569"/>
    <w:qFormat/>
    <w:rPr>
      <w:rFonts w:cs="Courier New"/>
    </w:rPr>
  </w:style>
  <w:style w:type="character" w:styleId="ListLabel2570" w:customStyle="1">
    <w:name w:val="ListLabel 2570"/>
    <w:qFormat/>
    <w:rPr>
      <w:rFonts w:cs="Wingdings"/>
    </w:rPr>
  </w:style>
  <w:style w:type="character" w:styleId="ListLabel2571" w:customStyle="1">
    <w:name w:val="ListLabel 2571"/>
    <w:qFormat/>
    <w:rPr>
      <w:rFonts w:cs="Symbol"/>
    </w:rPr>
  </w:style>
  <w:style w:type="character" w:styleId="ListLabel2572" w:customStyle="1">
    <w:name w:val="ListLabel 2572"/>
    <w:qFormat/>
    <w:rPr>
      <w:rFonts w:cs="Courier New"/>
    </w:rPr>
  </w:style>
  <w:style w:type="character" w:styleId="ListLabel2573" w:customStyle="1">
    <w:name w:val="ListLabel 2573"/>
    <w:qFormat/>
    <w:rPr>
      <w:rFonts w:cs="Wingdings"/>
    </w:rPr>
  </w:style>
  <w:style w:type="character" w:styleId="ListLabel2574" w:customStyle="1">
    <w:name w:val="ListLabel 2574"/>
    <w:qFormat/>
    <w:rPr>
      <w:rFonts w:cs="Times New Roman"/>
    </w:rPr>
  </w:style>
  <w:style w:type="character" w:styleId="ListLabel2575" w:customStyle="1">
    <w:name w:val="ListLabel 2575"/>
    <w:qFormat/>
    <w:rPr>
      <w:rFonts w:cs="Times New Roman"/>
    </w:rPr>
  </w:style>
  <w:style w:type="character" w:styleId="ListLabel2576" w:customStyle="1">
    <w:name w:val="ListLabel 2576"/>
    <w:qFormat/>
    <w:rPr>
      <w:rFonts w:cs="Times New Roman"/>
    </w:rPr>
  </w:style>
  <w:style w:type="character" w:styleId="ListLabel2577" w:customStyle="1">
    <w:name w:val="ListLabel 2577"/>
    <w:qFormat/>
    <w:rPr>
      <w:rFonts w:cs="Times New Roman"/>
    </w:rPr>
  </w:style>
  <w:style w:type="character" w:styleId="ListLabel2578" w:customStyle="1">
    <w:name w:val="ListLabel 2578"/>
    <w:qFormat/>
    <w:rPr>
      <w:rFonts w:cs="Times New Roman"/>
    </w:rPr>
  </w:style>
  <w:style w:type="character" w:styleId="ListLabel2579" w:customStyle="1">
    <w:name w:val="ListLabel 2579"/>
    <w:qFormat/>
    <w:rPr>
      <w:rFonts w:cs="Times New Roman"/>
    </w:rPr>
  </w:style>
  <w:style w:type="character" w:styleId="ListLabel2580" w:customStyle="1">
    <w:name w:val="ListLabel 2580"/>
    <w:qFormat/>
    <w:rPr>
      <w:rFonts w:cs="Times New Roman"/>
    </w:rPr>
  </w:style>
  <w:style w:type="character" w:styleId="ListLabel2581" w:customStyle="1">
    <w:name w:val="ListLabel 2581"/>
    <w:qFormat/>
    <w:rPr>
      <w:rFonts w:cs="Times New Roman"/>
    </w:rPr>
  </w:style>
  <w:style w:type="character" w:styleId="ListLabel2582" w:customStyle="1">
    <w:name w:val="ListLabel 2582"/>
    <w:qFormat/>
    <w:rPr>
      <w:rFonts w:cs="Times New Roman"/>
    </w:rPr>
  </w:style>
  <w:style w:type="character" w:styleId="ListLabel2583" w:customStyle="1">
    <w:name w:val="ListLabel 2583"/>
    <w:qFormat/>
    <w:rPr>
      <w:rFonts w:cs="Symbol"/>
      <w:b/>
      <w:sz w:val="24"/>
    </w:rPr>
  </w:style>
  <w:style w:type="character" w:styleId="ListLabel2584" w:customStyle="1">
    <w:name w:val="ListLabel 2584"/>
    <w:qFormat/>
    <w:rPr>
      <w:rFonts w:cs="Courier New"/>
    </w:rPr>
  </w:style>
  <w:style w:type="character" w:styleId="ListLabel2585" w:customStyle="1">
    <w:name w:val="ListLabel 2585"/>
    <w:qFormat/>
    <w:rPr>
      <w:rFonts w:cs="Wingdings"/>
    </w:rPr>
  </w:style>
  <w:style w:type="character" w:styleId="ListLabel2586" w:customStyle="1">
    <w:name w:val="ListLabel 2586"/>
    <w:qFormat/>
    <w:rPr>
      <w:rFonts w:cs="Symbol"/>
    </w:rPr>
  </w:style>
  <w:style w:type="character" w:styleId="ListLabel2587" w:customStyle="1">
    <w:name w:val="ListLabel 2587"/>
    <w:qFormat/>
    <w:rPr>
      <w:rFonts w:cs="Courier New"/>
    </w:rPr>
  </w:style>
  <w:style w:type="character" w:styleId="ListLabel2588" w:customStyle="1">
    <w:name w:val="ListLabel 2588"/>
    <w:qFormat/>
    <w:rPr>
      <w:rFonts w:cs="Wingdings"/>
    </w:rPr>
  </w:style>
  <w:style w:type="character" w:styleId="ListLabel2589" w:customStyle="1">
    <w:name w:val="ListLabel 2589"/>
    <w:qFormat/>
    <w:rPr>
      <w:rFonts w:cs="Symbol"/>
    </w:rPr>
  </w:style>
  <w:style w:type="character" w:styleId="ListLabel2590" w:customStyle="1">
    <w:name w:val="ListLabel 2590"/>
    <w:qFormat/>
    <w:rPr>
      <w:rFonts w:cs="Courier New"/>
    </w:rPr>
  </w:style>
  <w:style w:type="character" w:styleId="ListLabel2591" w:customStyle="1">
    <w:name w:val="ListLabel 2591"/>
    <w:qFormat/>
    <w:rPr>
      <w:rFonts w:cs="Wingdings"/>
    </w:rPr>
  </w:style>
  <w:style w:type="character" w:styleId="ListLabel2592" w:customStyle="1">
    <w:name w:val="ListLabel 2592"/>
    <w:qFormat/>
    <w:rPr>
      <w:rFonts w:cs="Symbol"/>
      <w:strike/>
      <w:color w:val="0070C0"/>
      <w:kern w:val="2"/>
      <w:position w:val="0"/>
      <w:sz w:val="24"/>
      <w:sz w:val="24"/>
      <w:vertAlign w:val="baseline"/>
      <w:lang w:val="el-GR"/>
    </w:rPr>
  </w:style>
  <w:style w:type="character" w:styleId="ListLabel2593" w:customStyle="1">
    <w:name w:val="ListLabel 2593"/>
    <w:qFormat/>
    <w:rPr>
      <w:rFonts w:cs="Courier New"/>
    </w:rPr>
  </w:style>
  <w:style w:type="character" w:styleId="ListLabel2594" w:customStyle="1">
    <w:name w:val="ListLabel 2594"/>
    <w:qFormat/>
    <w:rPr>
      <w:rFonts w:cs="Wingdings"/>
      <w:sz w:val="20"/>
    </w:rPr>
  </w:style>
  <w:style w:type="character" w:styleId="ListLabel2595" w:customStyle="1">
    <w:name w:val="ListLabel 2595"/>
    <w:qFormat/>
    <w:rPr>
      <w:rFonts w:cs="Wingdings"/>
      <w:sz w:val="20"/>
    </w:rPr>
  </w:style>
  <w:style w:type="character" w:styleId="ListLabel2596" w:customStyle="1">
    <w:name w:val="ListLabel 2596"/>
    <w:qFormat/>
    <w:rPr>
      <w:rFonts w:cs="Wingdings"/>
      <w:sz w:val="20"/>
    </w:rPr>
  </w:style>
  <w:style w:type="character" w:styleId="ListLabel2597" w:customStyle="1">
    <w:name w:val="ListLabel 2597"/>
    <w:qFormat/>
    <w:rPr>
      <w:rFonts w:cs="Wingdings"/>
      <w:sz w:val="20"/>
    </w:rPr>
  </w:style>
  <w:style w:type="character" w:styleId="ListLabel2598" w:customStyle="1">
    <w:name w:val="ListLabel 2598"/>
    <w:qFormat/>
    <w:rPr>
      <w:rFonts w:cs="Wingdings"/>
      <w:sz w:val="20"/>
    </w:rPr>
  </w:style>
  <w:style w:type="character" w:styleId="ListLabel2599" w:customStyle="1">
    <w:name w:val="ListLabel 2599"/>
    <w:qFormat/>
    <w:rPr>
      <w:rFonts w:cs="Wingdings"/>
      <w:sz w:val="20"/>
    </w:rPr>
  </w:style>
  <w:style w:type="character" w:styleId="ListLabel2600" w:customStyle="1">
    <w:name w:val="ListLabel 2600"/>
    <w:qFormat/>
    <w:rPr>
      <w:rFonts w:cs="Wingdings"/>
      <w:sz w:val="20"/>
    </w:rPr>
  </w:style>
  <w:style w:type="character" w:styleId="ListLabel2601" w:customStyle="1">
    <w:name w:val="ListLabel 2601"/>
    <w:qFormat/>
    <w:rPr>
      <w:b/>
      <w:bCs/>
      <w:sz w:val="24"/>
    </w:rPr>
  </w:style>
  <w:style w:type="character" w:styleId="ListLabel2602" w:customStyle="1">
    <w:name w:val="ListLabel 2602"/>
    <w:qFormat/>
    <w:rPr>
      <w:rFonts w:cs="Wingdings"/>
      <w:b/>
      <w:sz w:val="24"/>
    </w:rPr>
  </w:style>
  <w:style w:type="character" w:styleId="ListLabel2603" w:customStyle="1">
    <w:name w:val="ListLabel 2603"/>
    <w:qFormat/>
    <w:rPr>
      <w:rFonts w:cs="Courier New"/>
    </w:rPr>
  </w:style>
  <w:style w:type="character" w:styleId="ListLabel2604" w:customStyle="1">
    <w:name w:val="ListLabel 2604"/>
    <w:qFormat/>
    <w:rPr>
      <w:rFonts w:cs="Wingdings"/>
    </w:rPr>
  </w:style>
  <w:style w:type="character" w:styleId="ListLabel2605" w:customStyle="1">
    <w:name w:val="ListLabel 2605"/>
    <w:qFormat/>
    <w:rPr>
      <w:rFonts w:cs="Symbol"/>
    </w:rPr>
  </w:style>
  <w:style w:type="character" w:styleId="ListLabel2606" w:customStyle="1">
    <w:name w:val="ListLabel 2606"/>
    <w:qFormat/>
    <w:rPr>
      <w:rFonts w:cs="Courier New"/>
    </w:rPr>
  </w:style>
  <w:style w:type="character" w:styleId="ListLabel2607" w:customStyle="1">
    <w:name w:val="ListLabel 2607"/>
    <w:qFormat/>
    <w:rPr>
      <w:rFonts w:cs="Wingdings"/>
    </w:rPr>
  </w:style>
  <w:style w:type="character" w:styleId="ListLabel2608" w:customStyle="1">
    <w:name w:val="ListLabel 2608"/>
    <w:qFormat/>
    <w:rPr>
      <w:rFonts w:cs="Symbol"/>
    </w:rPr>
  </w:style>
  <w:style w:type="character" w:styleId="ListLabel2609" w:customStyle="1">
    <w:name w:val="ListLabel 2609"/>
    <w:qFormat/>
    <w:rPr>
      <w:rFonts w:cs="Courier New"/>
    </w:rPr>
  </w:style>
  <w:style w:type="character" w:styleId="ListLabel2610" w:customStyle="1">
    <w:name w:val="ListLabel 2610"/>
    <w:qFormat/>
    <w:rPr>
      <w:rFonts w:cs="Wingdings"/>
    </w:rPr>
  </w:style>
  <w:style w:type="character" w:styleId="ListLabel2611" w:customStyle="1">
    <w:name w:val="ListLabel 2611"/>
    <w:qFormat/>
    <w:rPr>
      <w:rFonts w:cs="OpenSymbol"/>
      <w:sz w:val="24"/>
    </w:rPr>
  </w:style>
  <w:style w:type="character" w:styleId="ListLabel2612" w:customStyle="1">
    <w:name w:val="ListLabel 2612"/>
    <w:qFormat/>
    <w:rPr>
      <w:rFonts w:cs="OpenSymbol"/>
    </w:rPr>
  </w:style>
  <w:style w:type="character" w:styleId="ListLabel2613" w:customStyle="1">
    <w:name w:val="ListLabel 2613"/>
    <w:qFormat/>
    <w:rPr>
      <w:rFonts w:cs="OpenSymbol"/>
    </w:rPr>
  </w:style>
  <w:style w:type="character" w:styleId="ListLabel2614" w:customStyle="1">
    <w:name w:val="ListLabel 2614"/>
    <w:qFormat/>
    <w:rPr>
      <w:rFonts w:cs="OpenSymbol"/>
    </w:rPr>
  </w:style>
  <w:style w:type="character" w:styleId="ListLabel2615" w:customStyle="1">
    <w:name w:val="ListLabel 2615"/>
    <w:qFormat/>
    <w:rPr>
      <w:rFonts w:cs="OpenSymbol"/>
    </w:rPr>
  </w:style>
  <w:style w:type="character" w:styleId="ListLabel2616" w:customStyle="1">
    <w:name w:val="ListLabel 2616"/>
    <w:qFormat/>
    <w:rPr>
      <w:rFonts w:cs="OpenSymbol"/>
    </w:rPr>
  </w:style>
  <w:style w:type="character" w:styleId="ListLabel2617" w:customStyle="1">
    <w:name w:val="ListLabel 2617"/>
    <w:qFormat/>
    <w:rPr>
      <w:rFonts w:cs="OpenSymbol"/>
    </w:rPr>
  </w:style>
  <w:style w:type="character" w:styleId="ListLabel2618" w:customStyle="1">
    <w:name w:val="ListLabel 2618"/>
    <w:qFormat/>
    <w:rPr>
      <w:rFonts w:cs="OpenSymbol"/>
    </w:rPr>
  </w:style>
  <w:style w:type="character" w:styleId="ListLabel2619" w:customStyle="1">
    <w:name w:val="ListLabel 2619"/>
    <w:qFormat/>
    <w:rPr>
      <w:rFonts w:cs="OpenSymbol"/>
    </w:rPr>
  </w:style>
  <w:style w:type="character" w:styleId="ListLabel2620" w:customStyle="1">
    <w:name w:val="ListLabel 2620"/>
    <w:qFormat/>
    <w:rPr>
      <w:rFonts w:cs="Times New Roman"/>
      <w:sz w:val="24"/>
    </w:rPr>
  </w:style>
  <w:style w:type="character" w:styleId="ListLabel2621" w:customStyle="1">
    <w:name w:val="ListLabel 2621"/>
    <w:qFormat/>
    <w:rPr>
      <w:rFonts w:cs="Times New Roman"/>
    </w:rPr>
  </w:style>
  <w:style w:type="character" w:styleId="ListLabel2622" w:customStyle="1">
    <w:name w:val="ListLabel 2622"/>
    <w:qFormat/>
    <w:rPr>
      <w:rFonts w:cs="Times New Roman"/>
    </w:rPr>
  </w:style>
  <w:style w:type="character" w:styleId="ListLabel2623" w:customStyle="1">
    <w:name w:val="ListLabel 2623"/>
    <w:qFormat/>
    <w:rPr>
      <w:rFonts w:cs="Times New Roman"/>
    </w:rPr>
  </w:style>
  <w:style w:type="character" w:styleId="ListLabel2624" w:customStyle="1">
    <w:name w:val="ListLabel 2624"/>
    <w:qFormat/>
    <w:rPr>
      <w:rFonts w:cs="Times New Roman"/>
    </w:rPr>
  </w:style>
  <w:style w:type="character" w:styleId="ListLabel2625" w:customStyle="1">
    <w:name w:val="ListLabel 2625"/>
    <w:qFormat/>
    <w:rPr>
      <w:rFonts w:cs="Times New Roman"/>
    </w:rPr>
  </w:style>
  <w:style w:type="character" w:styleId="ListLabel2626" w:customStyle="1">
    <w:name w:val="ListLabel 2626"/>
    <w:qFormat/>
    <w:rPr>
      <w:rFonts w:cs="Times New Roman"/>
    </w:rPr>
  </w:style>
  <w:style w:type="character" w:styleId="ListLabel2627" w:customStyle="1">
    <w:name w:val="ListLabel 2627"/>
    <w:qFormat/>
    <w:rPr>
      <w:rFonts w:cs="Times New Roman"/>
    </w:rPr>
  </w:style>
  <w:style w:type="character" w:styleId="ListLabel2628" w:customStyle="1">
    <w:name w:val="ListLabel 2628"/>
    <w:qFormat/>
    <w:rPr>
      <w:rFonts w:cs="Times New Roman"/>
    </w:rPr>
  </w:style>
  <w:style w:type="character" w:styleId="ListLabel2629" w:customStyle="1">
    <w:name w:val="ListLabel 2629"/>
    <w:qFormat/>
    <w:rPr>
      <w:rFonts w:cs="Symbol"/>
      <w:sz w:val="24"/>
    </w:rPr>
  </w:style>
  <w:style w:type="character" w:styleId="ListLabel2630" w:customStyle="1">
    <w:name w:val="ListLabel 2630"/>
    <w:qFormat/>
    <w:rPr>
      <w:rFonts w:cs="Wingdings"/>
      <w:color w:val="auto"/>
    </w:rPr>
  </w:style>
  <w:style w:type="character" w:styleId="ListLabel2631" w:customStyle="1">
    <w:name w:val="ListLabel 2631"/>
    <w:qFormat/>
    <w:rPr>
      <w:rFonts w:cs="Wingdings"/>
    </w:rPr>
  </w:style>
  <w:style w:type="character" w:styleId="ListLabel2632" w:customStyle="1">
    <w:name w:val="ListLabel 2632"/>
    <w:qFormat/>
    <w:rPr>
      <w:rFonts w:cs="Symbol"/>
    </w:rPr>
  </w:style>
  <w:style w:type="character" w:styleId="ListLabel2633" w:customStyle="1">
    <w:name w:val="ListLabel 2633"/>
    <w:qFormat/>
    <w:rPr>
      <w:rFonts w:cs="Courier New"/>
    </w:rPr>
  </w:style>
  <w:style w:type="character" w:styleId="ListLabel2634" w:customStyle="1">
    <w:name w:val="ListLabel 2634"/>
    <w:qFormat/>
    <w:rPr>
      <w:rFonts w:cs="Wingdings"/>
    </w:rPr>
  </w:style>
  <w:style w:type="character" w:styleId="ListLabel2635" w:customStyle="1">
    <w:name w:val="ListLabel 2635"/>
    <w:qFormat/>
    <w:rPr>
      <w:rFonts w:cs="Symbol"/>
    </w:rPr>
  </w:style>
  <w:style w:type="character" w:styleId="ListLabel2636" w:customStyle="1">
    <w:name w:val="ListLabel 2636"/>
    <w:qFormat/>
    <w:rPr>
      <w:rFonts w:cs="Wingdings"/>
    </w:rPr>
  </w:style>
  <w:style w:type="character" w:styleId="ListLabel2637" w:customStyle="1">
    <w:name w:val="ListLabel 2637"/>
    <w:qFormat/>
    <w:rPr>
      <w:rFonts w:cs="Wingdings"/>
    </w:rPr>
  </w:style>
  <w:style w:type="character" w:styleId="ListLabel2638" w:customStyle="1">
    <w:name w:val="ListLabel 2638"/>
    <w:qFormat/>
    <w:rPr>
      <w:rFonts w:cs="Symbol"/>
      <w:b/>
      <w:sz w:val="24"/>
    </w:rPr>
  </w:style>
  <w:style w:type="character" w:styleId="ListLabel2639" w:customStyle="1">
    <w:name w:val="ListLabel 2639"/>
    <w:qFormat/>
    <w:rPr>
      <w:rFonts w:cs="Symbol"/>
      <w:sz w:val="24"/>
    </w:rPr>
  </w:style>
  <w:style w:type="character" w:styleId="ListLabel2640" w:customStyle="1">
    <w:name w:val="ListLabel 2640"/>
    <w:qFormat/>
    <w:rPr>
      <w:rFonts w:cs="Symbol"/>
    </w:rPr>
  </w:style>
  <w:style w:type="character" w:styleId="ListLabel2641" w:customStyle="1">
    <w:name w:val="ListLabel 2641"/>
    <w:qFormat/>
    <w:rPr>
      <w:rFonts w:cs="Wingdings"/>
    </w:rPr>
  </w:style>
  <w:style w:type="character" w:styleId="ListLabel2642" w:customStyle="1">
    <w:name w:val="ListLabel 2642"/>
    <w:qFormat/>
    <w:rPr>
      <w:rFonts w:cs="Symbol"/>
    </w:rPr>
  </w:style>
  <w:style w:type="character" w:styleId="ListLabel2643" w:customStyle="1">
    <w:name w:val="ListLabel 2643"/>
    <w:qFormat/>
    <w:rPr>
      <w:rFonts w:cs="Courier New"/>
    </w:rPr>
  </w:style>
  <w:style w:type="character" w:styleId="ListLabel2644" w:customStyle="1">
    <w:name w:val="ListLabel 2644"/>
    <w:qFormat/>
    <w:rPr>
      <w:rFonts w:cs="Wingdings"/>
    </w:rPr>
  </w:style>
  <w:style w:type="character" w:styleId="ListLabel2645" w:customStyle="1">
    <w:name w:val="ListLabel 2645"/>
    <w:qFormat/>
    <w:rPr>
      <w:rFonts w:cs="Symbol"/>
    </w:rPr>
  </w:style>
  <w:style w:type="character" w:styleId="ListLabel2646" w:customStyle="1">
    <w:name w:val="ListLabel 2646"/>
    <w:qFormat/>
    <w:rPr>
      <w:rFonts w:cs="Wingdings"/>
    </w:rPr>
  </w:style>
  <w:style w:type="character" w:styleId="ListLabel2647" w:customStyle="1">
    <w:name w:val="ListLabel 2647"/>
    <w:qFormat/>
    <w:rPr>
      <w:rFonts w:cs="Wingdings"/>
    </w:rPr>
  </w:style>
  <w:style w:type="character" w:styleId="ListLabel2648" w:customStyle="1">
    <w:name w:val="ListLabel 2648"/>
    <w:qFormat/>
    <w:rPr>
      <w:rFonts w:cs="Symbol"/>
      <w:sz w:val="24"/>
    </w:rPr>
  </w:style>
  <w:style w:type="character" w:styleId="ListLabel2649" w:customStyle="1">
    <w:name w:val="ListLabel 2649"/>
    <w:qFormat/>
    <w:rPr>
      <w:rFonts w:cs="Symbol"/>
    </w:rPr>
  </w:style>
  <w:style w:type="character" w:styleId="ListLabel2650" w:customStyle="1">
    <w:name w:val="ListLabel 2650"/>
    <w:qFormat/>
    <w:rPr>
      <w:rFonts w:cs="Wingdings"/>
    </w:rPr>
  </w:style>
  <w:style w:type="character" w:styleId="ListLabel2651" w:customStyle="1">
    <w:name w:val="ListLabel 2651"/>
    <w:qFormat/>
    <w:rPr>
      <w:rFonts w:cs="Symbol"/>
    </w:rPr>
  </w:style>
  <w:style w:type="character" w:styleId="ListLabel2652" w:customStyle="1">
    <w:name w:val="ListLabel 2652"/>
    <w:qFormat/>
    <w:rPr>
      <w:rFonts w:cs="Courier New"/>
    </w:rPr>
  </w:style>
  <w:style w:type="character" w:styleId="ListLabel2653" w:customStyle="1">
    <w:name w:val="ListLabel 2653"/>
    <w:qFormat/>
    <w:rPr>
      <w:rFonts w:cs="Wingdings"/>
    </w:rPr>
  </w:style>
  <w:style w:type="character" w:styleId="ListLabel2654" w:customStyle="1">
    <w:name w:val="ListLabel 2654"/>
    <w:qFormat/>
    <w:rPr>
      <w:rFonts w:cs="Symbol"/>
    </w:rPr>
  </w:style>
  <w:style w:type="character" w:styleId="ListLabel2655" w:customStyle="1">
    <w:name w:val="ListLabel 2655"/>
    <w:qFormat/>
    <w:rPr>
      <w:rFonts w:cs="Wingdings"/>
    </w:rPr>
  </w:style>
  <w:style w:type="character" w:styleId="ListLabel2656" w:customStyle="1">
    <w:name w:val="ListLabel 2656"/>
    <w:qFormat/>
    <w:rPr>
      <w:rFonts w:cs="Wingdings"/>
    </w:rPr>
  </w:style>
  <w:style w:type="character" w:styleId="ListLabel2657" w:customStyle="1">
    <w:name w:val="ListLabel 2657"/>
    <w:qFormat/>
    <w:rPr>
      <w:rFonts w:cs="Symbol"/>
      <w:sz w:val="24"/>
    </w:rPr>
  </w:style>
  <w:style w:type="character" w:styleId="ListLabel2658" w:customStyle="1">
    <w:name w:val="ListLabel 2658"/>
    <w:qFormat/>
    <w:rPr>
      <w:rFonts w:cs="Times New Roman"/>
    </w:rPr>
  </w:style>
  <w:style w:type="character" w:styleId="ListLabel2659" w:customStyle="1">
    <w:name w:val="ListLabel 2659"/>
    <w:qFormat/>
    <w:rPr>
      <w:rFonts w:cs="Wingdings"/>
    </w:rPr>
  </w:style>
  <w:style w:type="character" w:styleId="ListLabel2660" w:customStyle="1">
    <w:name w:val="ListLabel 2660"/>
    <w:qFormat/>
    <w:rPr>
      <w:rFonts w:cs="Symbol"/>
    </w:rPr>
  </w:style>
  <w:style w:type="character" w:styleId="ListLabel2661" w:customStyle="1">
    <w:name w:val="ListLabel 2661"/>
    <w:qFormat/>
    <w:rPr>
      <w:rFonts w:cs="Times New Roman"/>
    </w:rPr>
  </w:style>
  <w:style w:type="character" w:styleId="ListLabel2662" w:customStyle="1">
    <w:name w:val="ListLabel 2662"/>
    <w:qFormat/>
    <w:rPr>
      <w:rFonts w:cs="Wingdings"/>
    </w:rPr>
  </w:style>
  <w:style w:type="character" w:styleId="ListLabel2663" w:customStyle="1">
    <w:name w:val="ListLabel 2663"/>
    <w:qFormat/>
    <w:rPr>
      <w:rFonts w:cs="Symbol"/>
    </w:rPr>
  </w:style>
  <w:style w:type="character" w:styleId="ListLabel2664" w:customStyle="1">
    <w:name w:val="ListLabel 2664"/>
    <w:qFormat/>
    <w:rPr>
      <w:rFonts w:cs="Times New Roman"/>
    </w:rPr>
  </w:style>
  <w:style w:type="character" w:styleId="ListLabel2665" w:customStyle="1">
    <w:name w:val="ListLabel 2665"/>
    <w:qFormat/>
    <w:rPr>
      <w:rFonts w:cs="Wingdings"/>
    </w:rPr>
  </w:style>
  <w:style w:type="character" w:styleId="ListLabel2666" w:customStyle="1">
    <w:name w:val="ListLabel 2666"/>
    <w:qFormat/>
    <w:rPr>
      <w:rFonts w:cs="Symbol"/>
      <w:sz w:val="24"/>
    </w:rPr>
  </w:style>
  <w:style w:type="character" w:styleId="ListLabel2667" w:customStyle="1">
    <w:name w:val="ListLabel 2667"/>
    <w:qFormat/>
    <w:rPr>
      <w:rFonts w:cs="Calibri"/>
    </w:rPr>
  </w:style>
  <w:style w:type="character" w:styleId="ListLabel2668" w:customStyle="1">
    <w:name w:val="ListLabel 2668"/>
    <w:qFormat/>
    <w:rPr>
      <w:rFonts w:cs="Wingdings"/>
    </w:rPr>
  </w:style>
  <w:style w:type="character" w:styleId="ListLabel2669" w:customStyle="1">
    <w:name w:val="ListLabel 2669"/>
    <w:qFormat/>
    <w:rPr>
      <w:rFonts w:cs="Symbol"/>
    </w:rPr>
  </w:style>
  <w:style w:type="character" w:styleId="ListLabel2670" w:customStyle="1">
    <w:name w:val="ListLabel 2670"/>
    <w:qFormat/>
    <w:rPr>
      <w:rFonts w:cs="Courier New"/>
    </w:rPr>
  </w:style>
  <w:style w:type="character" w:styleId="ListLabel2671" w:customStyle="1">
    <w:name w:val="ListLabel 2671"/>
    <w:qFormat/>
    <w:rPr>
      <w:rFonts w:cs="Wingdings"/>
    </w:rPr>
  </w:style>
  <w:style w:type="character" w:styleId="ListLabel2672" w:customStyle="1">
    <w:name w:val="ListLabel 2672"/>
    <w:qFormat/>
    <w:rPr>
      <w:rFonts w:cs="Symbol"/>
    </w:rPr>
  </w:style>
  <w:style w:type="character" w:styleId="ListLabel2673" w:customStyle="1">
    <w:name w:val="ListLabel 2673"/>
    <w:qFormat/>
    <w:rPr>
      <w:rFonts w:cs="Wingdings"/>
    </w:rPr>
  </w:style>
  <w:style w:type="character" w:styleId="ListLabel2674" w:customStyle="1">
    <w:name w:val="ListLabel 2674"/>
    <w:qFormat/>
    <w:rPr>
      <w:rFonts w:cs="Wingdings"/>
    </w:rPr>
  </w:style>
  <w:style w:type="character" w:styleId="ListLabel2675" w:customStyle="1">
    <w:name w:val="ListLabel 2675"/>
    <w:qFormat/>
    <w:rPr>
      <w:rFonts w:cs="Symbol"/>
      <w:sz w:val="24"/>
    </w:rPr>
  </w:style>
  <w:style w:type="character" w:styleId="ListLabel2676" w:customStyle="1">
    <w:name w:val="ListLabel 2676"/>
    <w:qFormat/>
    <w:rPr>
      <w:rFonts w:cs="Symbol"/>
    </w:rPr>
  </w:style>
  <w:style w:type="character" w:styleId="ListLabel2677" w:customStyle="1">
    <w:name w:val="ListLabel 2677"/>
    <w:qFormat/>
    <w:rPr>
      <w:rFonts w:cs="Wingdings"/>
    </w:rPr>
  </w:style>
  <w:style w:type="character" w:styleId="ListLabel2678" w:customStyle="1">
    <w:name w:val="ListLabel 2678"/>
    <w:qFormat/>
    <w:rPr>
      <w:rFonts w:cs="Symbol"/>
    </w:rPr>
  </w:style>
  <w:style w:type="character" w:styleId="ListLabel2679" w:customStyle="1">
    <w:name w:val="ListLabel 2679"/>
    <w:qFormat/>
    <w:rPr>
      <w:rFonts w:cs="Courier New"/>
    </w:rPr>
  </w:style>
  <w:style w:type="character" w:styleId="ListLabel2680" w:customStyle="1">
    <w:name w:val="ListLabel 2680"/>
    <w:qFormat/>
    <w:rPr>
      <w:rFonts w:cs="Wingdings"/>
    </w:rPr>
  </w:style>
  <w:style w:type="character" w:styleId="ListLabel2681" w:customStyle="1">
    <w:name w:val="ListLabel 2681"/>
    <w:qFormat/>
    <w:rPr>
      <w:rFonts w:cs="Symbol"/>
    </w:rPr>
  </w:style>
  <w:style w:type="character" w:styleId="ListLabel2682" w:customStyle="1">
    <w:name w:val="ListLabel 2682"/>
    <w:qFormat/>
    <w:rPr>
      <w:rFonts w:cs="Wingdings"/>
    </w:rPr>
  </w:style>
  <w:style w:type="character" w:styleId="ListLabel2683" w:customStyle="1">
    <w:name w:val="ListLabel 2683"/>
    <w:qFormat/>
    <w:rPr>
      <w:rFonts w:cs="Wingdings"/>
    </w:rPr>
  </w:style>
  <w:style w:type="character" w:styleId="ListLabel2684" w:customStyle="1">
    <w:name w:val="ListLabel 2684"/>
    <w:qFormat/>
    <w:rPr>
      <w:rFonts w:cs="Symbol"/>
      <w:sz w:val="24"/>
    </w:rPr>
  </w:style>
  <w:style w:type="character" w:styleId="ListLabel2685" w:customStyle="1">
    <w:name w:val="ListLabel 2685"/>
    <w:qFormat/>
    <w:rPr>
      <w:rFonts w:cs="Courier New"/>
    </w:rPr>
  </w:style>
  <w:style w:type="character" w:styleId="ListLabel2686" w:customStyle="1">
    <w:name w:val="ListLabel 2686"/>
    <w:qFormat/>
    <w:rPr>
      <w:rFonts w:cs="Wingdings"/>
    </w:rPr>
  </w:style>
  <w:style w:type="character" w:styleId="ListLabel2687" w:customStyle="1">
    <w:name w:val="ListLabel 2687"/>
    <w:qFormat/>
    <w:rPr>
      <w:rFonts w:cs="Symbol"/>
    </w:rPr>
  </w:style>
  <w:style w:type="character" w:styleId="ListLabel2688" w:customStyle="1">
    <w:name w:val="ListLabel 2688"/>
    <w:qFormat/>
    <w:rPr>
      <w:rFonts w:cs="Wingdings"/>
    </w:rPr>
  </w:style>
  <w:style w:type="character" w:styleId="ListLabel2689" w:customStyle="1">
    <w:name w:val="ListLabel 2689"/>
    <w:qFormat/>
    <w:rPr>
      <w:rFonts w:cs="Wingdings"/>
    </w:rPr>
  </w:style>
  <w:style w:type="character" w:styleId="ListLabel2690" w:customStyle="1">
    <w:name w:val="ListLabel 2690"/>
    <w:qFormat/>
    <w:rPr>
      <w:rFonts w:cs="Symbol"/>
    </w:rPr>
  </w:style>
  <w:style w:type="character" w:styleId="ListLabel2691" w:customStyle="1">
    <w:name w:val="ListLabel 2691"/>
    <w:qFormat/>
    <w:rPr>
      <w:rFonts w:cs="Symbol"/>
      <w:b/>
    </w:rPr>
  </w:style>
  <w:style w:type="character" w:styleId="ListLabel2692" w:customStyle="1">
    <w:name w:val="ListLabel 2692"/>
    <w:qFormat/>
    <w:rPr>
      <w:rFonts w:cs="Wingdings"/>
    </w:rPr>
  </w:style>
  <w:style w:type="character" w:styleId="ListLabel2693" w:customStyle="1">
    <w:name w:val="ListLabel 2693"/>
    <w:qFormat/>
    <w:rPr>
      <w:rFonts w:cs="Symbol"/>
      <w:sz w:val="24"/>
    </w:rPr>
  </w:style>
  <w:style w:type="character" w:styleId="ListLabel2694" w:customStyle="1">
    <w:name w:val="ListLabel 2694"/>
    <w:qFormat/>
    <w:rPr>
      <w:rFonts w:cs="Symbol"/>
    </w:rPr>
  </w:style>
  <w:style w:type="character" w:styleId="ListLabel2695" w:customStyle="1">
    <w:name w:val="ListLabel 2695"/>
    <w:qFormat/>
    <w:rPr>
      <w:rFonts w:cs="Wingdings"/>
    </w:rPr>
  </w:style>
  <w:style w:type="character" w:styleId="ListLabel2696" w:customStyle="1">
    <w:name w:val="ListLabel 2696"/>
    <w:qFormat/>
    <w:rPr>
      <w:rFonts w:cs="Symbol"/>
    </w:rPr>
  </w:style>
  <w:style w:type="character" w:styleId="ListLabel2697" w:customStyle="1">
    <w:name w:val="ListLabel 2697"/>
    <w:qFormat/>
    <w:rPr>
      <w:rFonts w:cs="Courier New"/>
    </w:rPr>
  </w:style>
  <w:style w:type="character" w:styleId="ListLabel2698" w:customStyle="1">
    <w:name w:val="ListLabel 2698"/>
    <w:qFormat/>
    <w:rPr>
      <w:rFonts w:cs="Wingdings"/>
    </w:rPr>
  </w:style>
  <w:style w:type="character" w:styleId="ListLabel2699" w:customStyle="1">
    <w:name w:val="ListLabel 2699"/>
    <w:qFormat/>
    <w:rPr>
      <w:rFonts w:cs="Symbol"/>
    </w:rPr>
  </w:style>
  <w:style w:type="character" w:styleId="ListLabel2700" w:customStyle="1">
    <w:name w:val="ListLabel 2700"/>
    <w:qFormat/>
    <w:rPr>
      <w:rFonts w:cs="Wingdings"/>
    </w:rPr>
  </w:style>
  <w:style w:type="character" w:styleId="ListLabel2701" w:customStyle="1">
    <w:name w:val="ListLabel 2701"/>
    <w:qFormat/>
    <w:rPr>
      <w:rFonts w:cs="Wingdings"/>
    </w:rPr>
  </w:style>
  <w:style w:type="character" w:styleId="ListLabel2702" w:customStyle="1">
    <w:name w:val="ListLabel 2702"/>
    <w:qFormat/>
    <w:rPr>
      <w:rFonts w:cs="Symbol"/>
      <w:sz w:val="24"/>
    </w:rPr>
  </w:style>
  <w:style w:type="character" w:styleId="ListLabel2703" w:customStyle="1">
    <w:name w:val="ListLabel 2703"/>
    <w:qFormat/>
    <w:rPr>
      <w:rFonts w:cs="Times New Roman"/>
    </w:rPr>
  </w:style>
  <w:style w:type="character" w:styleId="ListLabel2704" w:customStyle="1">
    <w:name w:val="ListLabel 2704"/>
    <w:qFormat/>
    <w:rPr>
      <w:rFonts w:cs="Wingdings"/>
    </w:rPr>
  </w:style>
  <w:style w:type="character" w:styleId="ListLabel2705" w:customStyle="1">
    <w:name w:val="ListLabel 2705"/>
    <w:qFormat/>
    <w:rPr>
      <w:rFonts w:cs="Symbol"/>
    </w:rPr>
  </w:style>
  <w:style w:type="character" w:styleId="ListLabel2706" w:customStyle="1">
    <w:name w:val="ListLabel 2706"/>
    <w:qFormat/>
    <w:rPr>
      <w:rFonts w:cs="Times New Roman"/>
    </w:rPr>
  </w:style>
  <w:style w:type="character" w:styleId="ListLabel2707" w:customStyle="1">
    <w:name w:val="ListLabel 2707"/>
    <w:qFormat/>
    <w:rPr>
      <w:rFonts w:cs="Wingdings"/>
    </w:rPr>
  </w:style>
  <w:style w:type="character" w:styleId="ListLabel2708" w:customStyle="1">
    <w:name w:val="ListLabel 2708"/>
    <w:qFormat/>
    <w:rPr>
      <w:rFonts w:cs="Symbol"/>
    </w:rPr>
  </w:style>
  <w:style w:type="character" w:styleId="ListLabel2709" w:customStyle="1">
    <w:name w:val="ListLabel 2709"/>
    <w:qFormat/>
    <w:rPr>
      <w:rFonts w:cs="Times New Roman"/>
    </w:rPr>
  </w:style>
  <w:style w:type="character" w:styleId="ListLabel2710" w:customStyle="1">
    <w:name w:val="ListLabel 2710"/>
    <w:qFormat/>
    <w:rPr>
      <w:rFonts w:cs="Wingdings"/>
    </w:rPr>
  </w:style>
  <w:style w:type="character" w:styleId="ListLabel2711" w:customStyle="1">
    <w:name w:val="ListLabel 2711"/>
    <w:qFormat/>
    <w:rPr>
      <w:rFonts w:cs="Wingdings"/>
      <w:sz w:val="24"/>
    </w:rPr>
  </w:style>
  <w:style w:type="character" w:styleId="ListLabel2712" w:customStyle="1">
    <w:name w:val="ListLabel 2712"/>
    <w:qFormat/>
    <w:rPr>
      <w:rFonts w:cs="Times New Roman"/>
    </w:rPr>
  </w:style>
  <w:style w:type="character" w:styleId="ListLabel2713" w:customStyle="1">
    <w:name w:val="ListLabel 2713"/>
    <w:qFormat/>
    <w:rPr>
      <w:rFonts w:cs="Wingdings"/>
    </w:rPr>
  </w:style>
  <w:style w:type="character" w:styleId="ListLabel2714" w:customStyle="1">
    <w:name w:val="ListLabel 2714"/>
    <w:qFormat/>
    <w:rPr>
      <w:rFonts w:cs="Symbol"/>
    </w:rPr>
  </w:style>
  <w:style w:type="character" w:styleId="ListLabel2715" w:customStyle="1">
    <w:name w:val="ListLabel 2715"/>
    <w:qFormat/>
    <w:rPr>
      <w:rFonts w:cs="Times New Roman"/>
    </w:rPr>
  </w:style>
  <w:style w:type="character" w:styleId="ListLabel2716" w:customStyle="1">
    <w:name w:val="ListLabel 2716"/>
    <w:qFormat/>
    <w:rPr>
      <w:rFonts w:cs="Wingdings"/>
    </w:rPr>
  </w:style>
  <w:style w:type="character" w:styleId="ListLabel2717" w:customStyle="1">
    <w:name w:val="ListLabel 2717"/>
    <w:qFormat/>
    <w:rPr>
      <w:rFonts w:cs="Symbol"/>
    </w:rPr>
  </w:style>
  <w:style w:type="character" w:styleId="ListLabel2718" w:customStyle="1">
    <w:name w:val="ListLabel 2718"/>
    <w:qFormat/>
    <w:rPr>
      <w:rFonts w:cs="Times New Roman"/>
    </w:rPr>
  </w:style>
  <w:style w:type="character" w:styleId="ListLabel2719" w:customStyle="1">
    <w:name w:val="ListLabel 2719"/>
    <w:qFormat/>
    <w:rPr>
      <w:rFonts w:cs="Wingdings"/>
    </w:rPr>
  </w:style>
  <w:style w:type="character" w:styleId="ListLabel2720" w:customStyle="1">
    <w:name w:val="ListLabel 2720"/>
    <w:qFormat/>
    <w:rPr>
      <w:rFonts w:eastAsia="Arial Unicode MS" w:cs="Calibri"/>
      <w:sz w:val="24"/>
      <w:lang w:val="en-US"/>
    </w:rPr>
  </w:style>
  <w:style w:type="character" w:styleId="ListLabel2721" w:customStyle="1">
    <w:name w:val="ListLabel 2721"/>
    <w:qFormat/>
    <w:rPr>
      <w:sz w:val="24"/>
    </w:rPr>
  </w:style>
  <w:style w:type="character" w:styleId="ListLabel2722" w:customStyle="1">
    <w:name w:val="ListLabel 2722"/>
    <w:qFormat/>
    <w:rPr>
      <w:rFonts w:eastAsia="Arial Unicode MS" w:cs="Calibri"/>
      <w:sz w:val="24"/>
    </w:rPr>
  </w:style>
  <w:style w:type="character" w:styleId="ListLabel2723" w:customStyle="1">
    <w:name w:val="ListLabel 2723"/>
    <w:qFormat/>
    <w:rPr>
      <w:rFonts w:eastAsia="Arial Unicode MS" w:cs="Calibri"/>
      <w:sz w:val="24"/>
      <w:lang w:val="el-GR"/>
    </w:rPr>
  </w:style>
  <w:style w:type="character" w:styleId="ListLabel2724" w:customStyle="1">
    <w:name w:val="ListLabel 2724"/>
    <w:qFormat/>
    <w:rPr>
      <w:sz w:val="24"/>
      <w:lang w:val="el-GR"/>
    </w:rPr>
  </w:style>
  <w:style w:type="character" w:styleId="ListLabel2725" w:customStyle="1">
    <w:name w:val="ListLabel 2725"/>
    <w:qFormat/>
    <w:rPr>
      <w:rFonts w:eastAsia="Arial Unicode MS"/>
      <w:bCs/>
      <w:sz w:val="24"/>
      <w:lang w:val="en-US"/>
    </w:rPr>
  </w:style>
  <w:style w:type="character" w:styleId="ListLabel2726" w:customStyle="1">
    <w:name w:val="ListLabel 2726"/>
    <w:qFormat/>
    <w:rPr>
      <w:rFonts w:eastAsia="Arial Unicode MS"/>
      <w:bCs/>
      <w:sz w:val="24"/>
      <w:lang w:val="el-GR"/>
    </w:rPr>
  </w:style>
  <w:style w:type="character" w:styleId="ListLabel2727" w:customStyle="1">
    <w:name w:val="ListLabel 2727"/>
    <w:qFormat/>
    <w:rPr>
      <w:rFonts w:cs="Tahoma"/>
      <w:i/>
      <w:iCs/>
      <w:color w:val="auto"/>
      <w:sz w:val="24"/>
    </w:rPr>
  </w:style>
  <w:style w:type="character" w:styleId="ListLabel2728" w:customStyle="1">
    <w:name w:val="ListLabel 2728"/>
    <w:qFormat/>
    <w:rPr>
      <w:rFonts w:cs="Tahoma"/>
      <w:color w:val="auto"/>
      <w:sz w:val="24"/>
      <w:lang w:val="el-GR"/>
    </w:rPr>
  </w:style>
  <w:style w:type="character" w:styleId="ListLabel2729" w:customStyle="1">
    <w:name w:val="ListLabel 2729"/>
    <w:qFormat/>
    <w:rPr>
      <w:rFonts w:ascii="Calibri" w:hAnsi="Calibri" w:cs="Calibri"/>
      <w:sz w:val="24"/>
      <w:szCs w:val="24"/>
    </w:rPr>
  </w:style>
  <w:style w:type="character" w:styleId="ListLabel2730" w:customStyle="1">
    <w:name w:val="ListLabel 2730"/>
    <w:qFormat/>
    <w:rPr>
      <w:rFonts w:eastAsia="Arial Unicode MS" w:cs="Calibri"/>
      <w:sz w:val="24"/>
      <w:szCs w:val="24"/>
    </w:rPr>
  </w:style>
  <w:style w:type="character" w:styleId="ListLabel2731" w:customStyle="1">
    <w:name w:val="ListLabel 2731"/>
    <w:qFormat/>
    <w:rPr>
      <w:rFonts w:eastAsia="Arial Unicode MS" w:cs="Times New Roman"/>
      <w:sz w:val="24"/>
      <w:lang w:val="el-GR" w:eastAsia="el-GR"/>
    </w:rPr>
  </w:style>
  <w:style w:type="character" w:styleId="ListLabel2732" w:customStyle="1">
    <w:name w:val="ListLabel 2732"/>
    <w:qFormat/>
    <w:rPr>
      <w:rFonts w:cs="Tahoma"/>
      <w:sz w:val="24"/>
      <w:lang w:eastAsia="el-GR"/>
    </w:rPr>
  </w:style>
  <w:style w:type="character" w:styleId="ListLabel2733" w:customStyle="1">
    <w:name w:val="ListLabel 2733"/>
    <w:qFormat/>
    <w:rPr>
      <w:rFonts w:cs="Tahoma"/>
      <w:sz w:val="24"/>
      <w:lang w:val="el-GR" w:eastAsia="el-GR"/>
    </w:rPr>
  </w:style>
  <w:style w:type="character" w:styleId="ListLabel2734" w:customStyle="1">
    <w:name w:val="ListLabel 2734"/>
    <w:qFormat/>
    <w:rPr>
      <w:rFonts w:cs="Times New Roman"/>
      <w:sz w:val="22"/>
    </w:rPr>
  </w:style>
  <w:style w:type="character" w:styleId="ListLabel2735" w:customStyle="1">
    <w:name w:val="ListLabel 2735"/>
    <w:qFormat/>
    <w:rPr>
      <w:rFonts w:cs="Symbol"/>
      <w:strike/>
      <w:color w:val="0070C0"/>
      <w:kern w:val="2"/>
      <w:position w:val="0"/>
      <w:sz w:val="24"/>
      <w:sz w:val="24"/>
      <w:vertAlign w:val="baseline"/>
    </w:rPr>
  </w:style>
  <w:style w:type="character" w:styleId="ListLabel2736" w:customStyle="1">
    <w:name w:val="ListLabel 2736"/>
    <w:qFormat/>
    <w:rPr>
      <w:rFonts w:cs="Calibri"/>
      <w:sz w:val="24"/>
    </w:rPr>
  </w:style>
  <w:style w:type="character" w:styleId="ListLabel2737" w:customStyle="1">
    <w:name w:val="ListLabel 2737"/>
    <w:qFormat/>
    <w:rPr>
      <w:rFonts w:cs="Courier New"/>
    </w:rPr>
  </w:style>
  <w:style w:type="character" w:styleId="ListLabel2738" w:customStyle="1">
    <w:name w:val="ListLabel 2738"/>
    <w:qFormat/>
    <w:rPr>
      <w:rFonts w:cs="Wingdings"/>
    </w:rPr>
  </w:style>
  <w:style w:type="character" w:styleId="ListLabel2739" w:customStyle="1">
    <w:name w:val="ListLabel 2739"/>
    <w:qFormat/>
    <w:rPr>
      <w:rFonts w:cs="Symbol"/>
    </w:rPr>
  </w:style>
  <w:style w:type="character" w:styleId="ListLabel2740" w:customStyle="1">
    <w:name w:val="ListLabel 2740"/>
    <w:qFormat/>
    <w:rPr>
      <w:rFonts w:cs="Courier New"/>
    </w:rPr>
  </w:style>
  <w:style w:type="character" w:styleId="ListLabel2741" w:customStyle="1">
    <w:name w:val="ListLabel 2741"/>
    <w:qFormat/>
    <w:rPr>
      <w:rFonts w:cs="Wingdings"/>
    </w:rPr>
  </w:style>
  <w:style w:type="character" w:styleId="ListLabel2742" w:customStyle="1">
    <w:name w:val="ListLabel 2742"/>
    <w:qFormat/>
    <w:rPr>
      <w:rFonts w:cs="Symbol"/>
    </w:rPr>
  </w:style>
  <w:style w:type="character" w:styleId="ListLabel2743" w:customStyle="1">
    <w:name w:val="ListLabel 2743"/>
    <w:qFormat/>
    <w:rPr>
      <w:rFonts w:cs="Courier New"/>
    </w:rPr>
  </w:style>
  <w:style w:type="character" w:styleId="ListLabel2744" w:customStyle="1">
    <w:name w:val="ListLabel 2744"/>
    <w:qFormat/>
    <w:rPr>
      <w:rFonts w:cs="Wingdings"/>
    </w:rPr>
  </w:style>
  <w:style w:type="character" w:styleId="ListLabel2745" w:customStyle="1">
    <w:name w:val="ListLabel 2745"/>
    <w:qFormat/>
    <w:rPr>
      <w:rFonts w:cs="Wingdings"/>
      <w:color w:val="auto"/>
      <w:sz w:val="24"/>
    </w:rPr>
  </w:style>
  <w:style w:type="character" w:styleId="ListLabel2746" w:customStyle="1">
    <w:name w:val="ListLabel 2746"/>
    <w:qFormat/>
    <w:rPr>
      <w:rFonts w:cs="Courier New"/>
    </w:rPr>
  </w:style>
  <w:style w:type="character" w:styleId="ListLabel2747" w:customStyle="1">
    <w:name w:val="ListLabel 2747"/>
    <w:qFormat/>
    <w:rPr>
      <w:rFonts w:cs="Wingdings"/>
    </w:rPr>
  </w:style>
  <w:style w:type="character" w:styleId="ListLabel2748" w:customStyle="1">
    <w:name w:val="ListLabel 2748"/>
    <w:qFormat/>
    <w:rPr>
      <w:rFonts w:cs="Symbol"/>
    </w:rPr>
  </w:style>
  <w:style w:type="character" w:styleId="ListLabel2749" w:customStyle="1">
    <w:name w:val="ListLabel 2749"/>
    <w:qFormat/>
    <w:rPr>
      <w:rFonts w:cs="Courier New"/>
    </w:rPr>
  </w:style>
  <w:style w:type="character" w:styleId="ListLabel2750" w:customStyle="1">
    <w:name w:val="ListLabel 2750"/>
    <w:qFormat/>
    <w:rPr>
      <w:rFonts w:cs="Wingdings"/>
    </w:rPr>
  </w:style>
  <w:style w:type="character" w:styleId="ListLabel2751" w:customStyle="1">
    <w:name w:val="ListLabel 2751"/>
    <w:qFormat/>
    <w:rPr>
      <w:rFonts w:cs="Symbol"/>
    </w:rPr>
  </w:style>
  <w:style w:type="character" w:styleId="ListLabel2752" w:customStyle="1">
    <w:name w:val="ListLabel 2752"/>
    <w:qFormat/>
    <w:rPr>
      <w:rFonts w:cs="Courier New"/>
    </w:rPr>
  </w:style>
  <w:style w:type="character" w:styleId="ListLabel2753" w:customStyle="1">
    <w:name w:val="ListLabel 2753"/>
    <w:qFormat/>
    <w:rPr>
      <w:rFonts w:cs="Wingdings"/>
    </w:rPr>
  </w:style>
  <w:style w:type="character" w:styleId="ListLabel2754" w:customStyle="1">
    <w:name w:val="ListLabel 2754"/>
    <w:qFormat/>
    <w:rPr>
      <w:rFonts w:cs="Times New Roman"/>
    </w:rPr>
  </w:style>
  <w:style w:type="character" w:styleId="ListLabel2755" w:customStyle="1">
    <w:name w:val="ListLabel 2755"/>
    <w:qFormat/>
    <w:rPr>
      <w:rFonts w:cs="Times New Roman"/>
    </w:rPr>
  </w:style>
  <w:style w:type="character" w:styleId="ListLabel2756" w:customStyle="1">
    <w:name w:val="ListLabel 2756"/>
    <w:qFormat/>
    <w:rPr>
      <w:rFonts w:cs="Times New Roman"/>
    </w:rPr>
  </w:style>
  <w:style w:type="character" w:styleId="ListLabel2757" w:customStyle="1">
    <w:name w:val="ListLabel 2757"/>
    <w:qFormat/>
    <w:rPr>
      <w:rFonts w:cs="Times New Roman"/>
    </w:rPr>
  </w:style>
  <w:style w:type="character" w:styleId="ListLabel2758" w:customStyle="1">
    <w:name w:val="ListLabel 2758"/>
    <w:qFormat/>
    <w:rPr>
      <w:rFonts w:cs="Times New Roman"/>
    </w:rPr>
  </w:style>
  <w:style w:type="character" w:styleId="ListLabel2759" w:customStyle="1">
    <w:name w:val="ListLabel 2759"/>
    <w:qFormat/>
    <w:rPr>
      <w:rFonts w:cs="Times New Roman"/>
    </w:rPr>
  </w:style>
  <w:style w:type="character" w:styleId="ListLabel2760" w:customStyle="1">
    <w:name w:val="ListLabel 2760"/>
    <w:qFormat/>
    <w:rPr>
      <w:rFonts w:cs="Times New Roman"/>
    </w:rPr>
  </w:style>
  <w:style w:type="character" w:styleId="ListLabel2761" w:customStyle="1">
    <w:name w:val="ListLabel 2761"/>
    <w:qFormat/>
    <w:rPr>
      <w:rFonts w:cs="Times New Roman"/>
    </w:rPr>
  </w:style>
  <w:style w:type="character" w:styleId="ListLabel2762" w:customStyle="1">
    <w:name w:val="ListLabel 2762"/>
    <w:qFormat/>
    <w:rPr>
      <w:rFonts w:cs="Times New Roman"/>
    </w:rPr>
  </w:style>
  <w:style w:type="character" w:styleId="ListLabel2763" w:customStyle="1">
    <w:name w:val="ListLabel 2763"/>
    <w:qFormat/>
    <w:rPr>
      <w:rFonts w:cs="Symbol"/>
      <w:b/>
      <w:sz w:val="24"/>
    </w:rPr>
  </w:style>
  <w:style w:type="character" w:styleId="ListLabel2764" w:customStyle="1">
    <w:name w:val="ListLabel 2764"/>
    <w:qFormat/>
    <w:rPr>
      <w:rFonts w:cs="Courier New"/>
    </w:rPr>
  </w:style>
  <w:style w:type="character" w:styleId="ListLabel2765" w:customStyle="1">
    <w:name w:val="ListLabel 2765"/>
    <w:qFormat/>
    <w:rPr>
      <w:rFonts w:cs="Wingdings"/>
    </w:rPr>
  </w:style>
  <w:style w:type="character" w:styleId="ListLabel2766" w:customStyle="1">
    <w:name w:val="ListLabel 2766"/>
    <w:qFormat/>
    <w:rPr>
      <w:rFonts w:cs="Symbol"/>
    </w:rPr>
  </w:style>
  <w:style w:type="character" w:styleId="ListLabel2767" w:customStyle="1">
    <w:name w:val="ListLabel 2767"/>
    <w:qFormat/>
    <w:rPr>
      <w:rFonts w:cs="Courier New"/>
    </w:rPr>
  </w:style>
  <w:style w:type="character" w:styleId="ListLabel2768" w:customStyle="1">
    <w:name w:val="ListLabel 2768"/>
    <w:qFormat/>
    <w:rPr>
      <w:rFonts w:cs="Wingdings"/>
    </w:rPr>
  </w:style>
  <w:style w:type="character" w:styleId="ListLabel2769" w:customStyle="1">
    <w:name w:val="ListLabel 2769"/>
    <w:qFormat/>
    <w:rPr>
      <w:rFonts w:cs="Symbol"/>
    </w:rPr>
  </w:style>
  <w:style w:type="character" w:styleId="ListLabel2770" w:customStyle="1">
    <w:name w:val="ListLabel 2770"/>
    <w:qFormat/>
    <w:rPr>
      <w:rFonts w:cs="Courier New"/>
    </w:rPr>
  </w:style>
  <w:style w:type="character" w:styleId="ListLabel2771" w:customStyle="1">
    <w:name w:val="ListLabel 2771"/>
    <w:qFormat/>
    <w:rPr>
      <w:rFonts w:cs="Wingdings"/>
    </w:rPr>
  </w:style>
  <w:style w:type="character" w:styleId="ListLabel2772" w:customStyle="1">
    <w:name w:val="ListLabel 2772"/>
    <w:qFormat/>
    <w:rPr>
      <w:rFonts w:cs="Symbol"/>
      <w:strike/>
      <w:color w:val="0070C0"/>
      <w:kern w:val="2"/>
      <w:position w:val="0"/>
      <w:sz w:val="24"/>
      <w:sz w:val="24"/>
      <w:vertAlign w:val="baseline"/>
      <w:lang w:val="el-GR"/>
    </w:rPr>
  </w:style>
  <w:style w:type="character" w:styleId="ListLabel2773" w:customStyle="1">
    <w:name w:val="ListLabel 2773"/>
    <w:qFormat/>
    <w:rPr>
      <w:rFonts w:cs="Courier New"/>
    </w:rPr>
  </w:style>
  <w:style w:type="character" w:styleId="ListLabel2774" w:customStyle="1">
    <w:name w:val="ListLabel 2774"/>
    <w:qFormat/>
    <w:rPr>
      <w:rFonts w:cs="Wingdings"/>
      <w:sz w:val="20"/>
    </w:rPr>
  </w:style>
  <w:style w:type="character" w:styleId="ListLabel2775" w:customStyle="1">
    <w:name w:val="ListLabel 2775"/>
    <w:qFormat/>
    <w:rPr>
      <w:rFonts w:cs="Wingdings"/>
      <w:sz w:val="20"/>
    </w:rPr>
  </w:style>
  <w:style w:type="character" w:styleId="ListLabel2776" w:customStyle="1">
    <w:name w:val="ListLabel 2776"/>
    <w:qFormat/>
    <w:rPr>
      <w:rFonts w:cs="Wingdings"/>
      <w:sz w:val="20"/>
    </w:rPr>
  </w:style>
  <w:style w:type="character" w:styleId="ListLabel2777" w:customStyle="1">
    <w:name w:val="ListLabel 2777"/>
    <w:qFormat/>
    <w:rPr>
      <w:rFonts w:cs="Wingdings"/>
      <w:sz w:val="20"/>
    </w:rPr>
  </w:style>
  <w:style w:type="character" w:styleId="ListLabel2778" w:customStyle="1">
    <w:name w:val="ListLabel 2778"/>
    <w:qFormat/>
    <w:rPr>
      <w:rFonts w:cs="Wingdings"/>
      <w:sz w:val="20"/>
    </w:rPr>
  </w:style>
  <w:style w:type="character" w:styleId="ListLabel2779" w:customStyle="1">
    <w:name w:val="ListLabel 2779"/>
    <w:qFormat/>
    <w:rPr>
      <w:rFonts w:cs="Wingdings"/>
      <w:sz w:val="20"/>
    </w:rPr>
  </w:style>
  <w:style w:type="character" w:styleId="ListLabel2780" w:customStyle="1">
    <w:name w:val="ListLabel 2780"/>
    <w:qFormat/>
    <w:rPr>
      <w:rFonts w:cs="Wingdings"/>
      <w:sz w:val="20"/>
    </w:rPr>
  </w:style>
  <w:style w:type="character" w:styleId="ListLabel2781" w:customStyle="1">
    <w:name w:val="ListLabel 2781"/>
    <w:qFormat/>
    <w:rPr>
      <w:b/>
      <w:bCs/>
      <w:sz w:val="24"/>
    </w:rPr>
  </w:style>
  <w:style w:type="character" w:styleId="ListLabel2782" w:customStyle="1">
    <w:name w:val="ListLabel 2782"/>
    <w:qFormat/>
    <w:rPr>
      <w:rFonts w:cs="Wingdings"/>
      <w:b/>
      <w:sz w:val="24"/>
    </w:rPr>
  </w:style>
  <w:style w:type="character" w:styleId="ListLabel2783" w:customStyle="1">
    <w:name w:val="ListLabel 2783"/>
    <w:qFormat/>
    <w:rPr>
      <w:rFonts w:cs="Courier New"/>
    </w:rPr>
  </w:style>
  <w:style w:type="character" w:styleId="ListLabel2784" w:customStyle="1">
    <w:name w:val="ListLabel 2784"/>
    <w:qFormat/>
    <w:rPr>
      <w:rFonts w:cs="Wingdings"/>
    </w:rPr>
  </w:style>
  <w:style w:type="character" w:styleId="ListLabel2785" w:customStyle="1">
    <w:name w:val="ListLabel 2785"/>
    <w:qFormat/>
    <w:rPr>
      <w:rFonts w:cs="Symbol"/>
    </w:rPr>
  </w:style>
  <w:style w:type="character" w:styleId="ListLabel2786" w:customStyle="1">
    <w:name w:val="ListLabel 2786"/>
    <w:qFormat/>
    <w:rPr>
      <w:rFonts w:cs="Courier New"/>
    </w:rPr>
  </w:style>
  <w:style w:type="character" w:styleId="ListLabel2787" w:customStyle="1">
    <w:name w:val="ListLabel 2787"/>
    <w:qFormat/>
    <w:rPr>
      <w:rFonts w:cs="Wingdings"/>
    </w:rPr>
  </w:style>
  <w:style w:type="character" w:styleId="ListLabel2788" w:customStyle="1">
    <w:name w:val="ListLabel 2788"/>
    <w:qFormat/>
    <w:rPr>
      <w:rFonts w:cs="Symbol"/>
    </w:rPr>
  </w:style>
  <w:style w:type="character" w:styleId="ListLabel2789" w:customStyle="1">
    <w:name w:val="ListLabel 2789"/>
    <w:qFormat/>
    <w:rPr>
      <w:rFonts w:cs="Courier New"/>
    </w:rPr>
  </w:style>
  <w:style w:type="character" w:styleId="ListLabel2790" w:customStyle="1">
    <w:name w:val="ListLabel 2790"/>
    <w:qFormat/>
    <w:rPr>
      <w:rFonts w:cs="Wingdings"/>
    </w:rPr>
  </w:style>
  <w:style w:type="character" w:styleId="ListLabel2791" w:customStyle="1">
    <w:name w:val="ListLabel 2791"/>
    <w:qFormat/>
    <w:rPr>
      <w:rFonts w:cs="OpenSymbol"/>
      <w:sz w:val="24"/>
    </w:rPr>
  </w:style>
  <w:style w:type="character" w:styleId="ListLabel2792" w:customStyle="1">
    <w:name w:val="ListLabel 2792"/>
    <w:qFormat/>
    <w:rPr>
      <w:rFonts w:cs="OpenSymbol"/>
    </w:rPr>
  </w:style>
  <w:style w:type="character" w:styleId="ListLabel2793" w:customStyle="1">
    <w:name w:val="ListLabel 2793"/>
    <w:qFormat/>
    <w:rPr>
      <w:rFonts w:cs="OpenSymbol"/>
    </w:rPr>
  </w:style>
  <w:style w:type="character" w:styleId="ListLabel2794" w:customStyle="1">
    <w:name w:val="ListLabel 2794"/>
    <w:qFormat/>
    <w:rPr>
      <w:rFonts w:cs="OpenSymbol"/>
    </w:rPr>
  </w:style>
  <w:style w:type="character" w:styleId="ListLabel2795" w:customStyle="1">
    <w:name w:val="ListLabel 2795"/>
    <w:qFormat/>
    <w:rPr>
      <w:rFonts w:cs="OpenSymbol"/>
    </w:rPr>
  </w:style>
  <w:style w:type="character" w:styleId="ListLabel2796" w:customStyle="1">
    <w:name w:val="ListLabel 2796"/>
    <w:qFormat/>
    <w:rPr>
      <w:rFonts w:cs="OpenSymbol"/>
    </w:rPr>
  </w:style>
  <w:style w:type="character" w:styleId="ListLabel2797" w:customStyle="1">
    <w:name w:val="ListLabel 2797"/>
    <w:qFormat/>
    <w:rPr>
      <w:rFonts w:cs="OpenSymbol"/>
    </w:rPr>
  </w:style>
  <w:style w:type="character" w:styleId="ListLabel2798" w:customStyle="1">
    <w:name w:val="ListLabel 2798"/>
    <w:qFormat/>
    <w:rPr>
      <w:rFonts w:cs="OpenSymbol"/>
    </w:rPr>
  </w:style>
  <w:style w:type="character" w:styleId="ListLabel2799" w:customStyle="1">
    <w:name w:val="ListLabel 2799"/>
    <w:qFormat/>
    <w:rPr>
      <w:rFonts w:cs="OpenSymbol"/>
    </w:rPr>
  </w:style>
  <w:style w:type="character" w:styleId="ListLabel2800" w:customStyle="1">
    <w:name w:val="ListLabel 2800"/>
    <w:qFormat/>
    <w:rPr>
      <w:rFonts w:cs="Times New Roman"/>
      <w:sz w:val="24"/>
    </w:rPr>
  </w:style>
  <w:style w:type="character" w:styleId="ListLabel2801" w:customStyle="1">
    <w:name w:val="ListLabel 2801"/>
    <w:qFormat/>
    <w:rPr>
      <w:rFonts w:cs="Times New Roman"/>
    </w:rPr>
  </w:style>
  <w:style w:type="character" w:styleId="ListLabel2802" w:customStyle="1">
    <w:name w:val="ListLabel 2802"/>
    <w:qFormat/>
    <w:rPr>
      <w:rFonts w:cs="Times New Roman"/>
    </w:rPr>
  </w:style>
  <w:style w:type="character" w:styleId="ListLabel2803" w:customStyle="1">
    <w:name w:val="ListLabel 2803"/>
    <w:qFormat/>
    <w:rPr>
      <w:rFonts w:cs="Times New Roman"/>
    </w:rPr>
  </w:style>
  <w:style w:type="character" w:styleId="ListLabel2804" w:customStyle="1">
    <w:name w:val="ListLabel 2804"/>
    <w:qFormat/>
    <w:rPr>
      <w:rFonts w:cs="Times New Roman"/>
    </w:rPr>
  </w:style>
  <w:style w:type="character" w:styleId="ListLabel2805" w:customStyle="1">
    <w:name w:val="ListLabel 2805"/>
    <w:qFormat/>
    <w:rPr>
      <w:rFonts w:cs="Times New Roman"/>
    </w:rPr>
  </w:style>
  <w:style w:type="character" w:styleId="ListLabel2806" w:customStyle="1">
    <w:name w:val="ListLabel 2806"/>
    <w:qFormat/>
    <w:rPr>
      <w:rFonts w:cs="Times New Roman"/>
    </w:rPr>
  </w:style>
  <w:style w:type="character" w:styleId="ListLabel2807" w:customStyle="1">
    <w:name w:val="ListLabel 2807"/>
    <w:qFormat/>
    <w:rPr>
      <w:rFonts w:cs="Times New Roman"/>
    </w:rPr>
  </w:style>
  <w:style w:type="character" w:styleId="ListLabel2808" w:customStyle="1">
    <w:name w:val="ListLabel 2808"/>
    <w:qFormat/>
    <w:rPr>
      <w:rFonts w:cs="Times New Roman"/>
    </w:rPr>
  </w:style>
  <w:style w:type="character" w:styleId="ListLabel2809" w:customStyle="1">
    <w:name w:val="ListLabel 2809"/>
    <w:qFormat/>
    <w:rPr>
      <w:rFonts w:cs="Symbol"/>
      <w:sz w:val="24"/>
    </w:rPr>
  </w:style>
  <w:style w:type="character" w:styleId="ListLabel2810" w:customStyle="1">
    <w:name w:val="ListLabel 2810"/>
    <w:qFormat/>
    <w:rPr>
      <w:rFonts w:cs="Wingdings"/>
      <w:color w:val="auto"/>
    </w:rPr>
  </w:style>
  <w:style w:type="character" w:styleId="ListLabel2811" w:customStyle="1">
    <w:name w:val="ListLabel 2811"/>
    <w:qFormat/>
    <w:rPr>
      <w:rFonts w:cs="Wingdings"/>
    </w:rPr>
  </w:style>
  <w:style w:type="character" w:styleId="ListLabel2812" w:customStyle="1">
    <w:name w:val="ListLabel 2812"/>
    <w:qFormat/>
    <w:rPr>
      <w:rFonts w:cs="Symbol"/>
    </w:rPr>
  </w:style>
  <w:style w:type="character" w:styleId="ListLabel2813" w:customStyle="1">
    <w:name w:val="ListLabel 2813"/>
    <w:qFormat/>
    <w:rPr>
      <w:rFonts w:cs="Courier New"/>
    </w:rPr>
  </w:style>
  <w:style w:type="character" w:styleId="ListLabel2814" w:customStyle="1">
    <w:name w:val="ListLabel 2814"/>
    <w:qFormat/>
    <w:rPr>
      <w:rFonts w:cs="Wingdings"/>
    </w:rPr>
  </w:style>
  <w:style w:type="character" w:styleId="ListLabel2815" w:customStyle="1">
    <w:name w:val="ListLabel 2815"/>
    <w:qFormat/>
    <w:rPr>
      <w:rFonts w:cs="Symbol"/>
    </w:rPr>
  </w:style>
  <w:style w:type="character" w:styleId="ListLabel2816" w:customStyle="1">
    <w:name w:val="ListLabel 2816"/>
    <w:qFormat/>
    <w:rPr>
      <w:rFonts w:cs="Wingdings"/>
    </w:rPr>
  </w:style>
  <w:style w:type="character" w:styleId="ListLabel2817" w:customStyle="1">
    <w:name w:val="ListLabel 2817"/>
    <w:qFormat/>
    <w:rPr>
      <w:rFonts w:cs="Wingdings"/>
    </w:rPr>
  </w:style>
  <w:style w:type="character" w:styleId="ListLabel2818" w:customStyle="1">
    <w:name w:val="ListLabel 2818"/>
    <w:qFormat/>
    <w:rPr>
      <w:rFonts w:cs="Symbol"/>
      <w:b/>
      <w:sz w:val="24"/>
    </w:rPr>
  </w:style>
  <w:style w:type="character" w:styleId="ListLabel2819" w:customStyle="1">
    <w:name w:val="ListLabel 2819"/>
    <w:qFormat/>
    <w:rPr>
      <w:rFonts w:cs="Symbol"/>
      <w:sz w:val="24"/>
    </w:rPr>
  </w:style>
  <w:style w:type="character" w:styleId="ListLabel2820" w:customStyle="1">
    <w:name w:val="ListLabel 2820"/>
    <w:qFormat/>
    <w:rPr>
      <w:rFonts w:cs="Symbol"/>
    </w:rPr>
  </w:style>
  <w:style w:type="character" w:styleId="ListLabel2821" w:customStyle="1">
    <w:name w:val="ListLabel 2821"/>
    <w:qFormat/>
    <w:rPr>
      <w:rFonts w:cs="Wingdings"/>
    </w:rPr>
  </w:style>
  <w:style w:type="character" w:styleId="ListLabel2822" w:customStyle="1">
    <w:name w:val="ListLabel 2822"/>
    <w:qFormat/>
    <w:rPr>
      <w:rFonts w:cs="Symbol"/>
    </w:rPr>
  </w:style>
  <w:style w:type="character" w:styleId="ListLabel2823" w:customStyle="1">
    <w:name w:val="ListLabel 2823"/>
    <w:qFormat/>
    <w:rPr>
      <w:rFonts w:cs="Courier New"/>
    </w:rPr>
  </w:style>
  <w:style w:type="character" w:styleId="ListLabel2824" w:customStyle="1">
    <w:name w:val="ListLabel 2824"/>
    <w:qFormat/>
    <w:rPr>
      <w:rFonts w:cs="Wingdings"/>
    </w:rPr>
  </w:style>
  <w:style w:type="character" w:styleId="ListLabel2825" w:customStyle="1">
    <w:name w:val="ListLabel 2825"/>
    <w:qFormat/>
    <w:rPr>
      <w:rFonts w:cs="Symbol"/>
    </w:rPr>
  </w:style>
  <w:style w:type="character" w:styleId="ListLabel2826" w:customStyle="1">
    <w:name w:val="ListLabel 2826"/>
    <w:qFormat/>
    <w:rPr>
      <w:rFonts w:cs="Wingdings"/>
    </w:rPr>
  </w:style>
  <w:style w:type="character" w:styleId="ListLabel2827" w:customStyle="1">
    <w:name w:val="ListLabel 2827"/>
    <w:qFormat/>
    <w:rPr>
      <w:rFonts w:cs="Wingdings"/>
    </w:rPr>
  </w:style>
  <w:style w:type="character" w:styleId="ListLabel2828" w:customStyle="1">
    <w:name w:val="ListLabel 2828"/>
    <w:qFormat/>
    <w:rPr>
      <w:rFonts w:cs="Symbol"/>
      <w:sz w:val="24"/>
    </w:rPr>
  </w:style>
  <w:style w:type="character" w:styleId="ListLabel2829" w:customStyle="1">
    <w:name w:val="ListLabel 2829"/>
    <w:qFormat/>
    <w:rPr>
      <w:rFonts w:cs="Symbol"/>
    </w:rPr>
  </w:style>
  <w:style w:type="character" w:styleId="ListLabel2830" w:customStyle="1">
    <w:name w:val="ListLabel 2830"/>
    <w:qFormat/>
    <w:rPr>
      <w:rFonts w:cs="Wingdings"/>
    </w:rPr>
  </w:style>
  <w:style w:type="character" w:styleId="ListLabel2831" w:customStyle="1">
    <w:name w:val="ListLabel 2831"/>
    <w:qFormat/>
    <w:rPr>
      <w:rFonts w:cs="Symbol"/>
    </w:rPr>
  </w:style>
  <w:style w:type="character" w:styleId="ListLabel2832" w:customStyle="1">
    <w:name w:val="ListLabel 2832"/>
    <w:qFormat/>
    <w:rPr>
      <w:rFonts w:cs="Courier New"/>
    </w:rPr>
  </w:style>
  <w:style w:type="character" w:styleId="ListLabel2833" w:customStyle="1">
    <w:name w:val="ListLabel 2833"/>
    <w:qFormat/>
    <w:rPr>
      <w:rFonts w:cs="Wingdings"/>
    </w:rPr>
  </w:style>
  <w:style w:type="character" w:styleId="ListLabel2834" w:customStyle="1">
    <w:name w:val="ListLabel 2834"/>
    <w:qFormat/>
    <w:rPr>
      <w:rFonts w:cs="Symbol"/>
    </w:rPr>
  </w:style>
  <w:style w:type="character" w:styleId="ListLabel2835" w:customStyle="1">
    <w:name w:val="ListLabel 2835"/>
    <w:qFormat/>
    <w:rPr>
      <w:rFonts w:cs="Wingdings"/>
    </w:rPr>
  </w:style>
  <w:style w:type="character" w:styleId="ListLabel2836" w:customStyle="1">
    <w:name w:val="ListLabel 2836"/>
    <w:qFormat/>
    <w:rPr>
      <w:rFonts w:cs="Wingdings"/>
    </w:rPr>
  </w:style>
  <w:style w:type="character" w:styleId="ListLabel2837" w:customStyle="1">
    <w:name w:val="ListLabel 2837"/>
    <w:qFormat/>
    <w:rPr>
      <w:rFonts w:cs="Symbol"/>
      <w:sz w:val="24"/>
    </w:rPr>
  </w:style>
  <w:style w:type="character" w:styleId="ListLabel2838" w:customStyle="1">
    <w:name w:val="ListLabel 2838"/>
    <w:qFormat/>
    <w:rPr>
      <w:rFonts w:cs="Times New Roman"/>
    </w:rPr>
  </w:style>
  <w:style w:type="character" w:styleId="ListLabel2839" w:customStyle="1">
    <w:name w:val="ListLabel 2839"/>
    <w:qFormat/>
    <w:rPr>
      <w:rFonts w:cs="Wingdings"/>
    </w:rPr>
  </w:style>
  <w:style w:type="character" w:styleId="ListLabel2840" w:customStyle="1">
    <w:name w:val="ListLabel 2840"/>
    <w:qFormat/>
    <w:rPr>
      <w:rFonts w:cs="Symbol"/>
    </w:rPr>
  </w:style>
  <w:style w:type="character" w:styleId="ListLabel2841" w:customStyle="1">
    <w:name w:val="ListLabel 2841"/>
    <w:qFormat/>
    <w:rPr>
      <w:rFonts w:cs="Times New Roman"/>
    </w:rPr>
  </w:style>
  <w:style w:type="character" w:styleId="ListLabel2842" w:customStyle="1">
    <w:name w:val="ListLabel 2842"/>
    <w:qFormat/>
    <w:rPr>
      <w:rFonts w:cs="Wingdings"/>
    </w:rPr>
  </w:style>
  <w:style w:type="character" w:styleId="ListLabel2843" w:customStyle="1">
    <w:name w:val="ListLabel 2843"/>
    <w:qFormat/>
    <w:rPr>
      <w:rFonts w:cs="Symbol"/>
    </w:rPr>
  </w:style>
  <w:style w:type="character" w:styleId="ListLabel2844" w:customStyle="1">
    <w:name w:val="ListLabel 2844"/>
    <w:qFormat/>
    <w:rPr>
      <w:rFonts w:cs="Times New Roman"/>
    </w:rPr>
  </w:style>
  <w:style w:type="character" w:styleId="ListLabel2845" w:customStyle="1">
    <w:name w:val="ListLabel 2845"/>
    <w:qFormat/>
    <w:rPr>
      <w:rFonts w:cs="Wingdings"/>
    </w:rPr>
  </w:style>
  <w:style w:type="character" w:styleId="ListLabel2846" w:customStyle="1">
    <w:name w:val="ListLabel 2846"/>
    <w:qFormat/>
    <w:rPr>
      <w:rFonts w:cs="Symbol"/>
      <w:sz w:val="24"/>
    </w:rPr>
  </w:style>
  <w:style w:type="character" w:styleId="ListLabel2847" w:customStyle="1">
    <w:name w:val="ListLabel 2847"/>
    <w:qFormat/>
    <w:rPr>
      <w:rFonts w:cs="Calibri"/>
    </w:rPr>
  </w:style>
  <w:style w:type="character" w:styleId="ListLabel2848" w:customStyle="1">
    <w:name w:val="ListLabel 2848"/>
    <w:qFormat/>
    <w:rPr>
      <w:rFonts w:cs="Wingdings"/>
    </w:rPr>
  </w:style>
  <w:style w:type="character" w:styleId="ListLabel2849" w:customStyle="1">
    <w:name w:val="ListLabel 2849"/>
    <w:qFormat/>
    <w:rPr>
      <w:rFonts w:cs="Symbol"/>
    </w:rPr>
  </w:style>
  <w:style w:type="character" w:styleId="ListLabel2850" w:customStyle="1">
    <w:name w:val="ListLabel 2850"/>
    <w:qFormat/>
    <w:rPr>
      <w:rFonts w:cs="Courier New"/>
    </w:rPr>
  </w:style>
  <w:style w:type="character" w:styleId="ListLabel2851" w:customStyle="1">
    <w:name w:val="ListLabel 2851"/>
    <w:qFormat/>
    <w:rPr>
      <w:rFonts w:cs="Wingdings"/>
    </w:rPr>
  </w:style>
  <w:style w:type="character" w:styleId="ListLabel2852" w:customStyle="1">
    <w:name w:val="ListLabel 2852"/>
    <w:qFormat/>
    <w:rPr>
      <w:rFonts w:cs="Symbol"/>
    </w:rPr>
  </w:style>
  <w:style w:type="character" w:styleId="ListLabel2853" w:customStyle="1">
    <w:name w:val="ListLabel 2853"/>
    <w:qFormat/>
    <w:rPr>
      <w:rFonts w:cs="Wingdings"/>
    </w:rPr>
  </w:style>
  <w:style w:type="character" w:styleId="ListLabel2854" w:customStyle="1">
    <w:name w:val="ListLabel 2854"/>
    <w:qFormat/>
    <w:rPr>
      <w:rFonts w:cs="Wingdings"/>
    </w:rPr>
  </w:style>
  <w:style w:type="character" w:styleId="ListLabel2855" w:customStyle="1">
    <w:name w:val="ListLabel 2855"/>
    <w:qFormat/>
    <w:rPr>
      <w:rFonts w:cs="Symbol"/>
      <w:sz w:val="24"/>
    </w:rPr>
  </w:style>
  <w:style w:type="character" w:styleId="ListLabel2856" w:customStyle="1">
    <w:name w:val="ListLabel 2856"/>
    <w:qFormat/>
    <w:rPr>
      <w:rFonts w:cs="Symbol"/>
    </w:rPr>
  </w:style>
  <w:style w:type="character" w:styleId="ListLabel2857" w:customStyle="1">
    <w:name w:val="ListLabel 2857"/>
    <w:qFormat/>
    <w:rPr>
      <w:rFonts w:cs="Wingdings"/>
    </w:rPr>
  </w:style>
  <w:style w:type="character" w:styleId="ListLabel2858" w:customStyle="1">
    <w:name w:val="ListLabel 2858"/>
    <w:qFormat/>
    <w:rPr>
      <w:rFonts w:cs="Symbol"/>
    </w:rPr>
  </w:style>
  <w:style w:type="character" w:styleId="ListLabel2859" w:customStyle="1">
    <w:name w:val="ListLabel 2859"/>
    <w:qFormat/>
    <w:rPr>
      <w:rFonts w:cs="Courier New"/>
    </w:rPr>
  </w:style>
  <w:style w:type="character" w:styleId="ListLabel2860" w:customStyle="1">
    <w:name w:val="ListLabel 2860"/>
    <w:qFormat/>
    <w:rPr>
      <w:rFonts w:cs="Wingdings"/>
    </w:rPr>
  </w:style>
  <w:style w:type="character" w:styleId="ListLabel2861" w:customStyle="1">
    <w:name w:val="ListLabel 2861"/>
    <w:qFormat/>
    <w:rPr>
      <w:rFonts w:cs="Symbol"/>
    </w:rPr>
  </w:style>
  <w:style w:type="character" w:styleId="ListLabel2862" w:customStyle="1">
    <w:name w:val="ListLabel 2862"/>
    <w:qFormat/>
    <w:rPr>
      <w:rFonts w:cs="Wingdings"/>
    </w:rPr>
  </w:style>
  <w:style w:type="character" w:styleId="ListLabel2863" w:customStyle="1">
    <w:name w:val="ListLabel 2863"/>
    <w:qFormat/>
    <w:rPr>
      <w:rFonts w:cs="Wingdings"/>
    </w:rPr>
  </w:style>
  <w:style w:type="character" w:styleId="ListLabel2864" w:customStyle="1">
    <w:name w:val="ListLabel 2864"/>
    <w:qFormat/>
    <w:rPr>
      <w:rFonts w:cs="Symbol"/>
      <w:sz w:val="24"/>
    </w:rPr>
  </w:style>
  <w:style w:type="character" w:styleId="ListLabel2865" w:customStyle="1">
    <w:name w:val="ListLabel 2865"/>
    <w:qFormat/>
    <w:rPr>
      <w:rFonts w:cs="Courier New"/>
    </w:rPr>
  </w:style>
  <w:style w:type="character" w:styleId="ListLabel2866" w:customStyle="1">
    <w:name w:val="ListLabel 2866"/>
    <w:qFormat/>
    <w:rPr>
      <w:rFonts w:cs="Wingdings"/>
    </w:rPr>
  </w:style>
  <w:style w:type="character" w:styleId="ListLabel2867" w:customStyle="1">
    <w:name w:val="ListLabel 2867"/>
    <w:qFormat/>
    <w:rPr>
      <w:rFonts w:cs="Symbol"/>
    </w:rPr>
  </w:style>
  <w:style w:type="character" w:styleId="ListLabel2868" w:customStyle="1">
    <w:name w:val="ListLabel 2868"/>
    <w:qFormat/>
    <w:rPr>
      <w:rFonts w:cs="Wingdings"/>
    </w:rPr>
  </w:style>
  <w:style w:type="character" w:styleId="ListLabel2869" w:customStyle="1">
    <w:name w:val="ListLabel 2869"/>
    <w:qFormat/>
    <w:rPr>
      <w:rFonts w:cs="Wingdings"/>
    </w:rPr>
  </w:style>
  <w:style w:type="character" w:styleId="ListLabel2870" w:customStyle="1">
    <w:name w:val="ListLabel 2870"/>
    <w:qFormat/>
    <w:rPr>
      <w:rFonts w:cs="Symbol"/>
    </w:rPr>
  </w:style>
  <w:style w:type="character" w:styleId="ListLabel2871" w:customStyle="1">
    <w:name w:val="ListLabel 2871"/>
    <w:qFormat/>
    <w:rPr>
      <w:rFonts w:cs="Symbol"/>
      <w:b/>
    </w:rPr>
  </w:style>
  <w:style w:type="character" w:styleId="ListLabel2872" w:customStyle="1">
    <w:name w:val="ListLabel 2872"/>
    <w:qFormat/>
    <w:rPr>
      <w:rFonts w:cs="Wingdings"/>
    </w:rPr>
  </w:style>
  <w:style w:type="character" w:styleId="ListLabel2873" w:customStyle="1">
    <w:name w:val="ListLabel 2873"/>
    <w:qFormat/>
    <w:rPr>
      <w:rFonts w:cs="Symbol"/>
      <w:sz w:val="24"/>
    </w:rPr>
  </w:style>
  <w:style w:type="character" w:styleId="ListLabel2874" w:customStyle="1">
    <w:name w:val="ListLabel 2874"/>
    <w:qFormat/>
    <w:rPr>
      <w:rFonts w:cs="Symbol"/>
    </w:rPr>
  </w:style>
  <w:style w:type="character" w:styleId="ListLabel2875" w:customStyle="1">
    <w:name w:val="ListLabel 2875"/>
    <w:qFormat/>
    <w:rPr>
      <w:rFonts w:cs="Wingdings"/>
    </w:rPr>
  </w:style>
  <w:style w:type="character" w:styleId="ListLabel2876" w:customStyle="1">
    <w:name w:val="ListLabel 2876"/>
    <w:qFormat/>
    <w:rPr>
      <w:rFonts w:cs="Symbol"/>
    </w:rPr>
  </w:style>
  <w:style w:type="character" w:styleId="ListLabel2877" w:customStyle="1">
    <w:name w:val="ListLabel 2877"/>
    <w:qFormat/>
    <w:rPr>
      <w:rFonts w:cs="Courier New"/>
    </w:rPr>
  </w:style>
  <w:style w:type="character" w:styleId="ListLabel2878" w:customStyle="1">
    <w:name w:val="ListLabel 2878"/>
    <w:qFormat/>
    <w:rPr>
      <w:rFonts w:cs="Wingdings"/>
    </w:rPr>
  </w:style>
  <w:style w:type="character" w:styleId="ListLabel2879" w:customStyle="1">
    <w:name w:val="ListLabel 2879"/>
    <w:qFormat/>
    <w:rPr>
      <w:rFonts w:cs="Symbol"/>
    </w:rPr>
  </w:style>
  <w:style w:type="character" w:styleId="ListLabel2880" w:customStyle="1">
    <w:name w:val="ListLabel 2880"/>
    <w:qFormat/>
    <w:rPr>
      <w:rFonts w:cs="Wingdings"/>
    </w:rPr>
  </w:style>
  <w:style w:type="character" w:styleId="ListLabel2881" w:customStyle="1">
    <w:name w:val="ListLabel 2881"/>
    <w:qFormat/>
    <w:rPr>
      <w:rFonts w:cs="Wingdings"/>
    </w:rPr>
  </w:style>
  <w:style w:type="character" w:styleId="ListLabel2882" w:customStyle="1">
    <w:name w:val="ListLabel 2882"/>
    <w:qFormat/>
    <w:rPr>
      <w:rFonts w:cs="Symbol"/>
      <w:sz w:val="24"/>
    </w:rPr>
  </w:style>
  <w:style w:type="character" w:styleId="ListLabel2883" w:customStyle="1">
    <w:name w:val="ListLabel 2883"/>
    <w:qFormat/>
    <w:rPr>
      <w:rFonts w:cs="Times New Roman"/>
    </w:rPr>
  </w:style>
  <w:style w:type="character" w:styleId="ListLabel2884" w:customStyle="1">
    <w:name w:val="ListLabel 2884"/>
    <w:qFormat/>
    <w:rPr>
      <w:rFonts w:cs="Wingdings"/>
    </w:rPr>
  </w:style>
  <w:style w:type="character" w:styleId="ListLabel2885" w:customStyle="1">
    <w:name w:val="ListLabel 2885"/>
    <w:qFormat/>
    <w:rPr>
      <w:rFonts w:cs="Symbol"/>
    </w:rPr>
  </w:style>
  <w:style w:type="character" w:styleId="ListLabel2886" w:customStyle="1">
    <w:name w:val="ListLabel 2886"/>
    <w:qFormat/>
    <w:rPr>
      <w:rFonts w:cs="Times New Roman"/>
    </w:rPr>
  </w:style>
  <w:style w:type="character" w:styleId="ListLabel2887" w:customStyle="1">
    <w:name w:val="ListLabel 2887"/>
    <w:qFormat/>
    <w:rPr>
      <w:rFonts w:cs="Wingdings"/>
    </w:rPr>
  </w:style>
  <w:style w:type="character" w:styleId="ListLabel2888" w:customStyle="1">
    <w:name w:val="ListLabel 2888"/>
    <w:qFormat/>
    <w:rPr>
      <w:rFonts w:cs="Symbol"/>
    </w:rPr>
  </w:style>
  <w:style w:type="character" w:styleId="ListLabel2889" w:customStyle="1">
    <w:name w:val="ListLabel 2889"/>
    <w:qFormat/>
    <w:rPr>
      <w:rFonts w:cs="Times New Roman"/>
    </w:rPr>
  </w:style>
  <w:style w:type="character" w:styleId="ListLabel2890" w:customStyle="1">
    <w:name w:val="ListLabel 2890"/>
    <w:qFormat/>
    <w:rPr>
      <w:rFonts w:cs="Wingdings"/>
    </w:rPr>
  </w:style>
  <w:style w:type="character" w:styleId="ListLabel2891" w:customStyle="1">
    <w:name w:val="ListLabel 2891"/>
    <w:qFormat/>
    <w:rPr>
      <w:rFonts w:cs="Wingdings"/>
      <w:sz w:val="24"/>
    </w:rPr>
  </w:style>
  <w:style w:type="character" w:styleId="ListLabel2892" w:customStyle="1">
    <w:name w:val="ListLabel 2892"/>
    <w:qFormat/>
    <w:rPr>
      <w:rFonts w:cs="Times New Roman"/>
    </w:rPr>
  </w:style>
  <w:style w:type="character" w:styleId="ListLabel2893" w:customStyle="1">
    <w:name w:val="ListLabel 2893"/>
    <w:qFormat/>
    <w:rPr>
      <w:rFonts w:cs="Wingdings"/>
    </w:rPr>
  </w:style>
  <w:style w:type="character" w:styleId="ListLabel2894" w:customStyle="1">
    <w:name w:val="ListLabel 2894"/>
    <w:qFormat/>
    <w:rPr>
      <w:rFonts w:cs="Symbol"/>
    </w:rPr>
  </w:style>
  <w:style w:type="character" w:styleId="ListLabel2895" w:customStyle="1">
    <w:name w:val="ListLabel 2895"/>
    <w:qFormat/>
    <w:rPr>
      <w:rFonts w:cs="Times New Roman"/>
    </w:rPr>
  </w:style>
  <w:style w:type="character" w:styleId="ListLabel2896" w:customStyle="1">
    <w:name w:val="ListLabel 2896"/>
    <w:qFormat/>
    <w:rPr>
      <w:rFonts w:cs="Wingdings"/>
    </w:rPr>
  </w:style>
  <w:style w:type="character" w:styleId="ListLabel2897" w:customStyle="1">
    <w:name w:val="ListLabel 2897"/>
    <w:qFormat/>
    <w:rPr>
      <w:rFonts w:cs="Symbol"/>
    </w:rPr>
  </w:style>
  <w:style w:type="character" w:styleId="ListLabel2898" w:customStyle="1">
    <w:name w:val="ListLabel 2898"/>
    <w:qFormat/>
    <w:rPr>
      <w:rFonts w:cs="Times New Roman"/>
    </w:rPr>
  </w:style>
  <w:style w:type="character" w:styleId="ListLabel2899" w:customStyle="1">
    <w:name w:val="ListLabel 2899"/>
    <w:qFormat/>
    <w:rPr>
      <w:rFonts w:cs="Wingdings"/>
    </w:rPr>
  </w:style>
  <w:style w:type="character" w:styleId="ListLabel2900" w:customStyle="1">
    <w:name w:val="ListLabel 2900"/>
    <w:qFormat/>
    <w:rPr>
      <w:rFonts w:eastAsia="Arial Unicode MS" w:cs="Calibri"/>
      <w:sz w:val="24"/>
      <w:lang w:val="en-US"/>
    </w:rPr>
  </w:style>
  <w:style w:type="character" w:styleId="ListLabel2901" w:customStyle="1">
    <w:name w:val="ListLabel 2901"/>
    <w:qFormat/>
    <w:rPr>
      <w:sz w:val="24"/>
    </w:rPr>
  </w:style>
  <w:style w:type="character" w:styleId="ListLabel2902" w:customStyle="1">
    <w:name w:val="ListLabel 2902"/>
    <w:qFormat/>
    <w:rPr>
      <w:rFonts w:eastAsia="Arial Unicode MS" w:cs="Calibri"/>
      <w:sz w:val="24"/>
    </w:rPr>
  </w:style>
  <w:style w:type="character" w:styleId="ListLabel2903" w:customStyle="1">
    <w:name w:val="ListLabel 2903"/>
    <w:qFormat/>
    <w:rPr>
      <w:rFonts w:eastAsia="Arial Unicode MS" w:cs="Calibri"/>
      <w:sz w:val="24"/>
      <w:lang w:val="el-GR"/>
    </w:rPr>
  </w:style>
  <w:style w:type="character" w:styleId="ListLabel2904" w:customStyle="1">
    <w:name w:val="ListLabel 2904"/>
    <w:qFormat/>
    <w:rPr>
      <w:sz w:val="24"/>
      <w:lang w:val="el-GR"/>
    </w:rPr>
  </w:style>
  <w:style w:type="character" w:styleId="ListLabel2905" w:customStyle="1">
    <w:name w:val="ListLabel 2905"/>
    <w:qFormat/>
    <w:rPr>
      <w:rFonts w:eastAsia="Arial Unicode MS"/>
      <w:bCs/>
      <w:sz w:val="24"/>
      <w:lang w:val="en-US"/>
    </w:rPr>
  </w:style>
  <w:style w:type="character" w:styleId="ListLabel2906" w:customStyle="1">
    <w:name w:val="ListLabel 2906"/>
    <w:qFormat/>
    <w:rPr>
      <w:rFonts w:eastAsia="Arial Unicode MS"/>
      <w:bCs/>
      <w:sz w:val="24"/>
      <w:lang w:val="el-GR"/>
    </w:rPr>
  </w:style>
  <w:style w:type="character" w:styleId="ListLabel2907" w:customStyle="1">
    <w:name w:val="ListLabel 2907"/>
    <w:qFormat/>
    <w:rPr>
      <w:rFonts w:cs="Tahoma"/>
      <w:i/>
      <w:iCs/>
      <w:color w:val="auto"/>
      <w:sz w:val="24"/>
    </w:rPr>
  </w:style>
  <w:style w:type="character" w:styleId="ListLabel2908" w:customStyle="1">
    <w:name w:val="ListLabel 2908"/>
    <w:qFormat/>
    <w:rPr>
      <w:rFonts w:cs="Tahoma"/>
      <w:color w:val="auto"/>
      <w:sz w:val="24"/>
      <w:lang w:val="el-GR"/>
    </w:rPr>
  </w:style>
  <w:style w:type="character" w:styleId="ListLabel2909" w:customStyle="1">
    <w:name w:val="ListLabel 2909"/>
    <w:qFormat/>
    <w:rPr>
      <w:rFonts w:ascii="Calibri" w:hAnsi="Calibri" w:cs="Calibri"/>
      <w:sz w:val="24"/>
      <w:szCs w:val="24"/>
    </w:rPr>
  </w:style>
  <w:style w:type="character" w:styleId="ListLabel2910" w:customStyle="1">
    <w:name w:val="ListLabel 2910"/>
    <w:qFormat/>
    <w:rPr>
      <w:rFonts w:eastAsia="Arial Unicode MS" w:cs="Calibri"/>
      <w:sz w:val="24"/>
      <w:szCs w:val="24"/>
    </w:rPr>
  </w:style>
  <w:style w:type="character" w:styleId="ListLabel2911" w:customStyle="1">
    <w:name w:val="ListLabel 2911"/>
    <w:qFormat/>
    <w:rPr>
      <w:rFonts w:eastAsia="Arial Unicode MS" w:cs="Times New Roman"/>
      <w:sz w:val="24"/>
      <w:lang w:val="el-GR" w:eastAsia="el-GR"/>
    </w:rPr>
  </w:style>
  <w:style w:type="character" w:styleId="ListLabel2912" w:customStyle="1">
    <w:name w:val="ListLabel 2912"/>
    <w:qFormat/>
    <w:rPr>
      <w:rFonts w:cs="Tahoma"/>
      <w:sz w:val="24"/>
      <w:lang w:eastAsia="el-GR"/>
    </w:rPr>
  </w:style>
  <w:style w:type="character" w:styleId="ListLabel2913" w:customStyle="1">
    <w:name w:val="ListLabel 2913"/>
    <w:qFormat/>
    <w:rPr>
      <w:rFonts w:cs="Tahoma"/>
      <w:sz w:val="24"/>
      <w:lang w:val="el-GR" w:eastAsia="el-GR"/>
    </w:rPr>
  </w:style>
  <w:style w:type="character" w:styleId="ListLabel2914" w:customStyle="1">
    <w:name w:val="ListLabel 2914"/>
    <w:qFormat/>
    <w:rPr>
      <w:rFonts w:cs="Times New Roman"/>
      <w:sz w:val="22"/>
    </w:rPr>
  </w:style>
  <w:style w:type="character" w:styleId="ListLabel2915" w:customStyle="1">
    <w:name w:val="ListLabel 2915"/>
    <w:qFormat/>
    <w:rPr>
      <w:rFonts w:cs="Symbol"/>
      <w:strike/>
      <w:color w:val="0070C0"/>
      <w:kern w:val="2"/>
      <w:position w:val="0"/>
      <w:sz w:val="24"/>
      <w:sz w:val="24"/>
      <w:vertAlign w:val="baseline"/>
    </w:rPr>
  </w:style>
  <w:style w:type="character" w:styleId="ListLabel2916" w:customStyle="1">
    <w:name w:val="ListLabel 2916"/>
    <w:qFormat/>
    <w:rPr>
      <w:rFonts w:cs="Calibri"/>
      <w:sz w:val="24"/>
    </w:rPr>
  </w:style>
  <w:style w:type="character" w:styleId="ListLabel2917" w:customStyle="1">
    <w:name w:val="ListLabel 2917"/>
    <w:qFormat/>
    <w:rPr>
      <w:rFonts w:cs="Courier New"/>
    </w:rPr>
  </w:style>
  <w:style w:type="character" w:styleId="ListLabel2918" w:customStyle="1">
    <w:name w:val="ListLabel 2918"/>
    <w:qFormat/>
    <w:rPr>
      <w:rFonts w:cs="Wingdings"/>
    </w:rPr>
  </w:style>
  <w:style w:type="character" w:styleId="ListLabel2919" w:customStyle="1">
    <w:name w:val="ListLabel 2919"/>
    <w:qFormat/>
    <w:rPr>
      <w:rFonts w:cs="Symbol"/>
    </w:rPr>
  </w:style>
  <w:style w:type="character" w:styleId="ListLabel2920" w:customStyle="1">
    <w:name w:val="ListLabel 2920"/>
    <w:qFormat/>
    <w:rPr>
      <w:rFonts w:cs="Courier New"/>
    </w:rPr>
  </w:style>
  <w:style w:type="character" w:styleId="ListLabel2921" w:customStyle="1">
    <w:name w:val="ListLabel 2921"/>
    <w:qFormat/>
    <w:rPr>
      <w:rFonts w:cs="Wingdings"/>
    </w:rPr>
  </w:style>
  <w:style w:type="character" w:styleId="ListLabel2922" w:customStyle="1">
    <w:name w:val="ListLabel 2922"/>
    <w:qFormat/>
    <w:rPr>
      <w:rFonts w:cs="Symbol"/>
    </w:rPr>
  </w:style>
  <w:style w:type="character" w:styleId="ListLabel2923" w:customStyle="1">
    <w:name w:val="ListLabel 2923"/>
    <w:qFormat/>
    <w:rPr>
      <w:rFonts w:cs="Courier New"/>
    </w:rPr>
  </w:style>
  <w:style w:type="character" w:styleId="ListLabel2924" w:customStyle="1">
    <w:name w:val="ListLabel 2924"/>
    <w:qFormat/>
    <w:rPr>
      <w:rFonts w:cs="Wingdings"/>
    </w:rPr>
  </w:style>
  <w:style w:type="character" w:styleId="ListLabel2925" w:customStyle="1">
    <w:name w:val="ListLabel 2925"/>
    <w:qFormat/>
    <w:rPr>
      <w:rFonts w:cs="Wingdings"/>
      <w:color w:val="auto"/>
      <w:sz w:val="24"/>
    </w:rPr>
  </w:style>
  <w:style w:type="character" w:styleId="ListLabel2926" w:customStyle="1">
    <w:name w:val="ListLabel 2926"/>
    <w:qFormat/>
    <w:rPr>
      <w:rFonts w:cs="Courier New"/>
    </w:rPr>
  </w:style>
  <w:style w:type="character" w:styleId="ListLabel2927" w:customStyle="1">
    <w:name w:val="ListLabel 2927"/>
    <w:qFormat/>
    <w:rPr>
      <w:rFonts w:cs="Wingdings"/>
    </w:rPr>
  </w:style>
  <w:style w:type="character" w:styleId="ListLabel2928" w:customStyle="1">
    <w:name w:val="ListLabel 2928"/>
    <w:qFormat/>
    <w:rPr>
      <w:rFonts w:cs="Symbol"/>
    </w:rPr>
  </w:style>
  <w:style w:type="character" w:styleId="ListLabel2929" w:customStyle="1">
    <w:name w:val="ListLabel 2929"/>
    <w:qFormat/>
    <w:rPr>
      <w:rFonts w:cs="Courier New"/>
    </w:rPr>
  </w:style>
  <w:style w:type="character" w:styleId="ListLabel2930" w:customStyle="1">
    <w:name w:val="ListLabel 2930"/>
    <w:qFormat/>
    <w:rPr>
      <w:rFonts w:cs="Wingdings"/>
    </w:rPr>
  </w:style>
  <w:style w:type="character" w:styleId="ListLabel2931" w:customStyle="1">
    <w:name w:val="ListLabel 2931"/>
    <w:qFormat/>
    <w:rPr>
      <w:rFonts w:cs="Symbol"/>
    </w:rPr>
  </w:style>
  <w:style w:type="character" w:styleId="ListLabel2932" w:customStyle="1">
    <w:name w:val="ListLabel 2932"/>
    <w:qFormat/>
    <w:rPr>
      <w:rFonts w:cs="Courier New"/>
    </w:rPr>
  </w:style>
  <w:style w:type="character" w:styleId="ListLabel2933" w:customStyle="1">
    <w:name w:val="ListLabel 2933"/>
    <w:qFormat/>
    <w:rPr>
      <w:rFonts w:cs="Wingdings"/>
    </w:rPr>
  </w:style>
  <w:style w:type="character" w:styleId="ListLabel2934" w:customStyle="1">
    <w:name w:val="ListLabel 2934"/>
    <w:qFormat/>
    <w:rPr>
      <w:rFonts w:cs="Times New Roman"/>
    </w:rPr>
  </w:style>
  <w:style w:type="character" w:styleId="ListLabel2935" w:customStyle="1">
    <w:name w:val="ListLabel 2935"/>
    <w:qFormat/>
    <w:rPr>
      <w:rFonts w:cs="Times New Roman"/>
    </w:rPr>
  </w:style>
  <w:style w:type="character" w:styleId="ListLabel2936" w:customStyle="1">
    <w:name w:val="ListLabel 2936"/>
    <w:qFormat/>
    <w:rPr>
      <w:rFonts w:cs="Times New Roman"/>
    </w:rPr>
  </w:style>
  <w:style w:type="character" w:styleId="ListLabel2937" w:customStyle="1">
    <w:name w:val="ListLabel 2937"/>
    <w:qFormat/>
    <w:rPr>
      <w:rFonts w:cs="Times New Roman"/>
    </w:rPr>
  </w:style>
  <w:style w:type="character" w:styleId="ListLabel2938" w:customStyle="1">
    <w:name w:val="ListLabel 2938"/>
    <w:qFormat/>
    <w:rPr>
      <w:rFonts w:cs="Times New Roman"/>
    </w:rPr>
  </w:style>
  <w:style w:type="character" w:styleId="ListLabel2939" w:customStyle="1">
    <w:name w:val="ListLabel 2939"/>
    <w:qFormat/>
    <w:rPr>
      <w:rFonts w:cs="Times New Roman"/>
    </w:rPr>
  </w:style>
  <w:style w:type="character" w:styleId="ListLabel2940" w:customStyle="1">
    <w:name w:val="ListLabel 2940"/>
    <w:qFormat/>
    <w:rPr>
      <w:rFonts w:cs="Times New Roman"/>
    </w:rPr>
  </w:style>
  <w:style w:type="character" w:styleId="ListLabel2941" w:customStyle="1">
    <w:name w:val="ListLabel 2941"/>
    <w:qFormat/>
    <w:rPr>
      <w:rFonts w:cs="Times New Roman"/>
    </w:rPr>
  </w:style>
  <w:style w:type="character" w:styleId="ListLabel2942" w:customStyle="1">
    <w:name w:val="ListLabel 2942"/>
    <w:qFormat/>
    <w:rPr>
      <w:rFonts w:cs="Times New Roman"/>
    </w:rPr>
  </w:style>
  <w:style w:type="character" w:styleId="ListLabel2943" w:customStyle="1">
    <w:name w:val="ListLabel 2943"/>
    <w:qFormat/>
    <w:rPr>
      <w:rFonts w:cs="Symbol"/>
      <w:b/>
      <w:sz w:val="24"/>
    </w:rPr>
  </w:style>
  <w:style w:type="character" w:styleId="ListLabel2944" w:customStyle="1">
    <w:name w:val="ListLabel 2944"/>
    <w:qFormat/>
    <w:rPr>
      <w:rFonts w:cs="Courier New"/>
    </w:rPr>
  </w:style>
  <w:style w:type="character" w:styleId="ListLabel2945" w:customStyle="1">
    <w:name w:val="ListLabel 2945"/>
    <w:qFormat/>
    <w:rPr>
      <w:rFonts w:cs="Wingdings"/>
    </w:rPr>
  </w:style>
  <w:style w:type="character" w:styleId="ListLabel2946" w:customStyle="1">
    <w:name w:val="ListLabel 2946"/>
    <w:qFormat/>
    <w:rPr>
      <w:rFonts w:cs="Symbol"/>
    </w:rPr>
  </w:style>
  <w:style w:type="character" w:styleId="ListLabel2947" w:customStyle="1">
    <w:name w:val="ListLabel 2947"/>
    <w:qFormat/>
    <w:rPr>
      <w:rFonts w:cs="Courier New"/>
    </w:rPr>
  </w:style>
  <w:style w:type="character" w:styleId="ListLabel2948" w:customStyle="1">
    <w:name w:val="ListLabel 2948"/>
    <w:qFormat/>
    <w:rPr>
      <w:rFonts w:cs="Wingdings"/>
    </w:rPr>
  </w:style>
  <w:style w:type="character" w:styleId="ListLabel2949" w:customStyle="1">
    <w:name w:val="ListLabel 2949"/>
    <w:qFormat/>
    <w:rPr>
      <w:rFonts w:cs="Symbol"/>
    </w:rPr>
  </w:style>
  <w:style w:type="character" w:styleId="ListLabel2950" w:customStyle="1">
    <w:name w:val="ListLabel 2950"/>
    <w:qFormat/>
    <w:rPr>
      <w:rFonts w:cs="Courier New"/>
    </w:rPr>
  </w:style>
  <w:style w:type="character" w:styleId="ListLabel2951" w:customStyle="1">
    <w:name w:val="ListLabel 2951"/>
    <w:qFormat/>
    <w:rPr>
      <w:rFonts w:cs="Wingdings"/>
    </w:rPr>
  </w:style>
  <w:style w:type="character" w:styleId="ListLabel2952" w:customStyle="1">
    <w:name w:val="ListLabel 2952"/>
    <w:qFormat/>
    <w:rPr>
      <w:rFonts w:cs="Symbol"/>
      <w:strike/>
      <w:color w:val="0070C0"/>
      <w:kern w:val="2"/>
      <w:position w:val="0"/>
      <w:sz w:val="24"/>
      <w:sz w:val="24"/>
      <w:vertAlign w:val="baseline"/>
      <w:lang w:val="el-GR"/>
    </w:rPr>
  </w:style>
  <w:style w:type="character" w:styleId="ListLabel2953" w:customStyle="1">
    <w:name w:val="ListLabel 2953"/>
    <w:qFormat/>
    <w:rPr>
      <w:rFonts w:cs="Courier New"/>
    </w:rPr>
  </w:style>
  <w:style w:type="character" w:styleId="ListLabel2954" w:customStyle="1">
    <w:name w:val="ListLabel 2954"/>
    <w:qFormat/>
    <w:rPr>
      <w:rFonts w:cs="Wingdings"/>
      <w:sz w:val="20"/>
    </w:rPr>
  </w:style>
  <w:style w:type="character" w:styleId="ListLabel2955" w:customStyle="1">
    <w:name w:val="ListLabel 2955"/>
    <w:qFormat/>
    <w:rPr>
      <w:rFonts w:cs="Wingdings"/>
      <w:sz w:val="20"/>
    </w:rPr>
  </w:style>
  <w:style w:type="character" w:styleId="ListLabel2956" w:customStyle="1">
    <w:name w:val="ListLabel 2956"/>
    <w:qFormat/>
    <w:rPr>
      <w:rFonts w:cs="Wingdings"/>
      <w:sz w:val="20"/>
    </w:rPr>
  </w:style>
  <w:style w:type="character" w:styleId="ListLabel2957" w:customStyle="1">
    <w:name w:val="ListLabel 2957"/>
    <w:qFormat/>
    <w:rPr>
      <w:rFonts w:cs="Wingdings"/>
      <w:sz w:val="20"/>
    </w:rPr>
  </w:style>
  <w:style w:type="character" w:styleId="ListLabel2958" w:customStyle="1">
    <w:name w:val="ListLabel 2958"/>
    <w:qFormat/>
    <w:rPr>
      <w:rFonts w:cs="Wingdings"/>
      <w:sz w:val="20"/>
    </w:rPr>
  </w:style>
  <w:style w:type="character" w:styleId="ListLabel2959" w:customStyle="1">
    <w:name w:val="ListLabel 2959"/>
    <w:qFormat/>
    <w:rPr>
      <w:rFonts w:cs="Wingdings"/>
      <w:sz w:val="20"/>
    </w:rPr>
  </w:style>
  <w:style w:type="character" w:styleId="ListLabel2960" w:customStyle="1">
    <w:name w:val="ListLabel 2960"/>
    <w:qFormat/>
    <w:rPr>
      <w:rFonts w:cs="Wingdings"/>
      <w:sz w:val="20"/>
    </w:rPr>
  </w:style>
  <w:style w:type="character" w:styleId="ListLabel2961" w:customStyle="1">
    <w:name w:val="ListLabel 2961"/>
    <w:qFormat/>
    <w:rPr>
      <w:b/>
      <w:bCs/>
      <w:sz w:val="24"/>
    </w:rPr>
  </w:style>
  <w:style w:type="character" w:styleId="ListLabel2962" w:customStyle="1">
    <w:name w:val="ListLabel 2962"/>
    <w:qFormat/>
    <w:rPr>
      <w:rFonts w:cs="Wingdings"/>
      <w:b/>
      <w:sz w:val="24"/>
    </w:rPr>
  </w:style>
  <w:style w:type="character" w:styleId="ListLabel2963" w:customStyle="1">
    <w:name w:val="ListLabel 2963"/>
    <w:qFormat/>
    <w:rPr>
      <w:rFonts w:cs="Courier New"/>
    </w:rPr>
  </w:style>
  <w:style w:type="character" w:styleId="ListLabel2964" w:customStyle="1">
    <w:name w:val="ListLabel 2964"/>
    <w:qFormat/>
    <w:rPr>
      <w:rFonts w:cs="Wingdings"/>
    </w:rPr>
  </w:style>
  <w:style w:type="character" w:styleId="ListLabel2965" w:customStyle="1">
    <w:name w:val="ListLabel 2965"/>
    <w:qFormat/>
    <w:rPr>
      <w:rFonts w:cs="Symbol"/>
    </w:rPr>
  </w:style>
  <w:style w:type="character" w:styleId="ListLabel2966" w:customStyle="1">
    <w:name w:val="ListLabel 2966"/>
    <w:qFormat/>
    <w:rPr>
      <w:rFonts w:cs="Courier New"/>
    </w:rPr>
  </w:style>
  <w:style w:type="character" w:styleId="ListLabel2967" w:customStyle="1">
    <w:name w:val="ListLabel 2967"/>
    <w:qFormat/>
    <w:rPr>
      <w:rFonts w:cs="Wingdings"/>
    </w:rPr>
  </w:style>
  <w:style w:type="character" w:styleId="ListLabel2968" w:customStyle="1">
    <w:name w:val="ListLabel 2968"/>
    <w:qFormat/>
    <w:rPr>
      <w:rFonts w:cs="Symbol"/>
    </w:rPr>
  </w:style>
  <w:style w:type="character" w:styleId="ListLabel2969" w:customStyle="1">
    <w:name w:val="ListLabel 2969"/>
    <w:qFormat/>
    <w:rPr>
      <w:rFonts w:cs="Courier New"/>
    </w:rPr>
  </w:style>
  <w:style w:type="character" w:styleId="ListLabel2970" w:customStyle="1">
    <w:name w:val="ListLabel 2970"/>
    <w:qFormat/>
    <w:rPr>
      <w:rFonts w:cs="Wingdings"/>
    </w:rPr>
  </w:style>
  <w:style w:type="character" w:styleId="ListLabel2971" w:customStyle="1">
    <w:name w:val="ListLabel 2971"/>
    <w:qFormat/>
    <w:rPr>
      <w:rFonts w:cs="OpenSymbol"/>
      <w:sz w:val="24"/>
    </w:rPr>
  </w:style>
  <w:style w:type="character" w:styleId="ListLabel2972" w:customStyle="1">
    <w:name w:val="ListLabel 2972"/>
    <w:qFormat/>
    <w:rPr>
      <w:rFonts w:cs="OpenSymbol"/>
    </w:rPr>
  </w:style>
  <w:style w:type="character" w:styleId="ListLabel2973" w:customStyle="1">
    <w:name w:val="ListLabel 2973"/>
    <w:qFormat/>
    <w:rPr>
      <w:rFonts w:cs="OpenSymbol"/>
    </w:rPr>
  </w:style>
  <w:style w:type="character" w:styleId="ListLabel2974" w:customStyle="1">
    <w:name w:val="ListLabel 2974"/>
    <w:qFormat/>
    <w:rPr>
      <w:rFonts w:cs="OpenSymbol"/>
    </w:rPr>
  </w:style>
  <w:style w:type="character" w:styleId="ListLabel2975" w:customStyle="1">
    <w:name w:val="ListLabel 2975"/>
    <w:qFormat/>
    <w:rPr>
      <w:rFonts w:cs="OpenSymbol"/>
    </w:rPr>
  </w:style>
  <w:style w:type="character" w:styleId="ListLabel2976" w:customStyle="1">
    <w:name w:val="ListLabel 2976"/>
    <w:qFormat/>
    <w:rPr>
      <w:rFonts w:cs="OpenSymbol"/>
    </w:rPr>
  </w:style>
  <w:style w:type="character" w:styleId="ListLabel2977" w:customStyle="1">
    <w:name w:val="ListLabel 2977"/>
    <w:qFormat/>
    <w:rPr>
      <w:rFonts w:cs="OpenSymbol"/>
    </w:rPr>
  </w:style>
  <w:style w:type="character" w:styleId="ListLabel2978" w:customStyle="1">
    <w:name w:val="ListLabel 2978"/>
    <w:qFormat/>
    <w:rPr>
      <w:rFonts w:cs="OpenSymbol"/>
    </w:rPr>
  </w:style>
  <w:style w:type="character" w:styleId="ListLabel2979" w:customStyle="1">
    <w:name w:val="ListLabel 2979"/>
    <w:qFormat/>
    <w:rPr>
      <w:rFonts w:cs="OpenSymbol"/>
    </w:rPr>
  </w:style>
  <w:style w:type="character" w:styleId="ListLabel2980" w:customStyle="1">
    <w:name w:val="ListLabel 2980"/>
    <w:qFormat/>
    <w:rPr>
      <w:rFonts w:cs="Times New Roman"/>
      <w:sz w:val="24"/>
    </w:rPr>
  </w:style>
  <w:style w:type="character" w:styleId="ListLabel2981" w:customStyle="1">
    <w:name w:val="ListLabel 2981"/>
    <w:qFormat/>
    <w:rPr>
      <w:rFonts w:cs="Times New Roman"/>
    </w:rPr>
  </w:style>
  <w:style w:type="character" w:styleId="ListLabel2982" w:customStyle="1">
    <w:name w:val="ListLabel 2982"/>
    <w:qFormat/>
    <w:rPr>
      <w:rFonts w:cs="Times New Roman"/>
    </w:rPr>
  </w:style>
  <w:style w:type="character" w:styleId="ListLabel2983" w:customStyle="1">
    <w:name w:val="ListLabel 2983"/>
    <w:qFormat/>
    <w:rPr>
      <w:rFonts w:cs="Times New Roman"/>
    </w:rPr>
  </w:style>
  <w:style w:type="character" w:styleId="ListLabel2984" w:customStyle="1">
    <w:name w:val="ListLabel 2984"/>
    <w:qFormat/>
    <w:rPr>
      <w:rFonts w:cs="Times New Roman"/>
    </w:rPr>
  </w:style>
  <w:style w:type="character" w:styleId="ListLabel2985" w:customStyle="1">
    <w:name w:val="ListLabel 2985"/>
    <w:qFormat/>
    <w:rPr>
      <w:rFonts w:cs="Times New Roman"/>
    </w:rPr>
  </w:style>
  <w:style w:type="character" w:styleId="ListLabel2986" w:customStyle="1">
    <w:name w:val="ListLabel 2986"/>
    <w:qFormat/>
    <w:rPr>
      <w:rFonts w:cs="Times New Roman"/>
    </w:rPr>
  </w:style>
  <w:style w:type="character" w:styleId="ListLabel2987" w:customStyle="1">
    <w:name w:val="ListLabel 2987"/>
    <w:qFormat/>
    <w:rPr>
      <w:rFonts w:cs="Times New Roman"/>
    </w:rPr>
  </w:style>
  <w:style w:type="character" w:styleId="ListLabel2988" w:customStyle="1">
    <w:name w:val="ListLabel 2988"/>
    <w:qFormat/>
    <w:rPr>
      <w:rFonts w:cs="Times New Roman"/>
    </w:rPr>
  </w:style>
  <w:style w:type="character" w:styleId="ListLabel2989" w:customStyle="1">
    <w:name w:val="ListLabel 2989"/>
    <w:qFormat/>
    <w:rPr>
      <w:rFonts w:cs="Symbol"/>
      <w:sz w:val="24"/>
    </w:rPr>
  </w:style>
  <w:style w:type="character" w:styleId="ListLabel2990" w:customStyle="1">
    <w:name w:val="ListLabel 2990"/>
    <w:qFormat/>
    <w:rPr>
      <w:rFonts w:cs="Wingdings"/>
      <w:color w:val="auto"/>
    </w:rPr>
  </w:style>
  <w:style w:type="character" w:styleId="ListLabel2991" w:customStyle="1">
    <w:name w:val="ListLabel 2991"/>
    <w:qFormat/>
    <w:rPr>
      <w:rFonts w:cs="Wingdings"/>
    </w:rPr>
  </w:style>
  <w:style w:type="character" w:styleId="ListLabel2992" w:customStyle="1">
    <w:name w:val="ListLabel 2992"/>
    <w:qFormat/>
    <w:rPr>
      <w:rFonts w:cs="Symbol"/>
    </w:rPr>
  </w:style>
  <w:style w:type="character" w:styleId="ListLabel2993" w:customStyle="1">
    <w:name w:val="ListLabel 2993"/>
    <w:qFormat/>
    <w:rPr>
      <w:rFonts w:cs="Courier New"/>
    </w:rPr>
  </w:style>
  <w:style w:type="character" w:styleId="ListLabel2994" w:customStyle="1">
    <w:name w:val="ListLabel 2994"/>
    <w:qFormat/>
    <w:rPr>
      <w:rFonts w:cs="Wingdings"/>
    </w:rPr>
  </w:style>
  <w:style w:type="character" w:styleId="ListLabel2995" w:customStyle="1">
    <w:name w:val="ListLabel 2995"/>
    <w:qFormat/>
    <w:rPr>
      <w:rFonts w:cs="Symbol"/>
    </w:rPr>
  </w:style>
  <w:style w:type="character" w:styleId="ListLabel2996" w:customStyle="1">
    <w:name w:val="ListLabel 2996"/>
    <w:qFormat/>
    <w:rPr>
      <w:rFonts w:cs="Wingdings"/>
    </w:rPr>
  </w:style>
  <w:style w:type="character" w:styleId="ListLabel2997" w:customStyle="1">
    <w:name w:val="ListLabel 2997"/>
    <w:qFormat/>
    <w:rPr>
      <w:rFonts w:cs="Wingdings"/>
    </w:rPr>
  </w:style>
  <w:style w:type="character" w:styleId="ListLabel2998" w:customStyle="1">
    <w:name w:val="ListLabel 2998"/>
    <w:qFormat/>
    <w:rPr>
      <w:rFonts w:cs="Symbol"/>
      <w:b/>
      <w:sz w:val="24"/>
    </w:rPr>
  </w:style>
  <w:style w:type="character" w:styleId="ListLabel2999" w:customStyle="1">
    <w:name w:val="ListLabel 2999"/>
    <w:qFormat/>
    <w:rPr>
      <w:rFonts w:cs="Symbol"/>
      <w:sz w:val="24"/>
    </w:rPr>
  </w:style>
  <w:style w:type="character" w:styleId="ListLabel3000" w:customStyle="1">
    <w:name w:val="ListLabel 3000"/>
    <w:qFormat/>
    <w:rPr>
      <w:rFonts w:cs="Symbol"/>
    </w:rPr>
  </w:style>
  <w:style w:type="character" w:styleId="ListLabel3001" w:customStyle="1">
    <w:name w:val="ListLabel 3001"/>
    <w:qFormat/>
    <w:rPr>
      <w:rFonts w:cs="Wingdings"/>
    </w:rPr>
  </w:style>
  <w:style w:type="character" w:styleId="ListLabel3002" w:customStyle="1">
    <w:name w:val="ListLabel 3002"/>
    <w:qFormat/>
    <w:rPr>
      <w:rFonts w:cs="Symbol"/>
    </w:rPr>
  </w:style>
  <w:style w:type="character" w:styleId="ListLabel3003" w:customStyle="1">
    <w:name w:val="ListLabel 3003"/>
    <w:qFormat/>
    <w:rPr>
      <w:rFonts w:cs="Courier New"/>
    </w:rPr>
  </w:style>
  <w:style w:type="character" w:styleId="ListLabel3004" w:customStyle="1">
    <w:name w:val="ListLabel 3004"/>
    <w:qFormat/>
    <w:rPr>
      <w:rFonts w:cs="Wingdings"/>
    </w:rPr>
  </w:style>
  <w:style w:type="character" w:styleId="ListLabel3005" w:customStyle="1">
    <w:name w:val="ListLabel 3005"/>
    <w:qFormat/>
    <w:rPr>
      <w:rFonts w:cs="Symbol"/>
    </w:rPr>
  </w:style>
  <w:style w:type="character" w:styleId="ListLabel3006" w:customStyle="1">
    <w:name w:val="ListLabel 3006"/>
    <w:qFormat/>
    <w:rPr>
      <w:rFonts w:cs="Wingdings"/>
    </w:rPr>
  </w:style>
  <w:style w:type="character" w:styleId="ListLabel3007" w:customStyle="1">
    <w:name w:val="ListLabel 3007"/>
    <w:qFormat/>
    <w:rPr>
      <w:rFonts w:cs="Wingdings"/>
    </w:rPr>
  </w:style>
  <w:style w:type="character" w:styleId="ListLabel3008" w:customStyle="1">
    <w:name w:val="ListLabel 3008"/>
    <w:qFormat/>
    <w:rPr>
      <w:rFonts w:cs="Symbol"/>
      <w:sz w:val="24"/>
    </w:rPr>
  </w:style>
  <w:style w:type="character" w:styleId="ListLabel3009" w:customStyle="1">
    <w:name w:val="ListLabel 3009"/>
    <w:qFormat/>
    <w:rPr>
      <w:rFonts w:cs="Symbol"/>
    </w:rPr>
  </w:style>
  <w:style w:type="character" w:styleId="ListLabel3010" w:customStyle="1">
    <w:name w:val="ListLabel 3010"/>
    <w:qFormat/>
    <w:rPr>
      <w:rFonts w:cs="Wingdings"/>
    </w:rPr>
  </w:style>
  <w:style w:type="character" w:styleId="ListLabel3011" w:customStyle="1">
    <w:name w:val="ListLabel 3011"/>
    <w:qFormat/>
    <w:rPr>
      <w:rFonts w:cs="Symbol"/>
    </w:rPr>
  </w:style>
  <w:style w:type="character" w:styleId="ListLabel3012" w:customStyle="1">
    <w:name w:val="ListLabel 3012"/>
    <w:qFormat/>
    <w:rPr>
      <w:rFonts w:cs="Courier New"/>
    </w:rPr>
  </w:style>
  <w:style w:type="character" w:styleId="ListLabel3013" w:customStyle="1">
    <w:name w:val="ListLabel 3013"/>
    <w:qFormat/>
    <w:rPr>
      <w:rFonts w:cs="Wingdings"/>
    </w:rPr>
  </w:style>
  <w:style w:type="character" w:styleId="ListLabel3014" w:customStyle="1">
    <w:name w:val="ListLabel 3014"/>
    <w:qFormat/>
    <w:rPr>
      <w:rFonts w:cs="Symbol"/>
    </w:rPr>
  </w:style>
  <w:style w:type="character" w:styleId="ListLabel3015" w:customStyle="1">
    <w:name w:val="ListLabel 3015"/>
    <w:qFormat/>
    <w:rPr>
      <w:rFonts w:cs="Wingdings"/>
    </w:rPr>
  </w:style>
  <w:style w:type="character" w:styleId="ListLabel3016" w:customStyle="1">
    <w:name w:val="ListLabel 3016"/>
    <w:qFormat/>
    <w:rPr>
      <w:rFonts w:cs="Wingdings"/>
    </w:rPr>
  </w:style>
  <w:style w:type="character" w:styleId="ListLabel3017" w:customStyle="1">
    <w:name w:val="ListLabel 3017"/>
    <w:qFormat/>
    <w:rPr>
      <w:rFonts w:cs="Symbol"/>
      <w:sz w:val="24"/>
    </w:rPr>
  </w:style>
  <w:style w:type="character" w:styleId="ListLabel3018" w:customStyle="1">
    <w:name w:val="ListLabel 3018"/>
    <w:qFormat/>
    <w:rPr>
      <w:rFonts w:cs="Times New Roman"/>
    </w:rPr>
  </w:style>
  <w:style w:type="character" w:styleId="ListLabel3019" w:customStyle="1">
    <w:name w:val="ListLabel 3019"/>
    <w:qFormat/>
    <w:rPr>
      <w:rFonts w:cs="Wingdings"/>
    </w:rPr>
  </w:style>
  <w:style w:type="character" w:styleId="ListLabel3020" w:customStyle="1">
    <w:name w:val="ListLabel 3020"/>
    <w:qFormat/>
    <w:rPr>
      <w:rFonts w:cs="Symbol"/>
    </w:rPr>
  </w:style>
  <w:style w:type="character" w:styleId="ListLabel3021" w:customStyle="1">
    <w:name w:val="ListLabel 3021"/>
    <w:qFormat/>
    <w:rPr>
      <w:rFonts w:cs="Times New Roman"/>
    </w:rPr>
  </w:style>
  <w:style w:type="character" w:styleId="ListLabel3022" w:customStyle="1">
    <w:name w:val="ListLabel 3022"/>
    <w:qFormat/>
    <w:rPr>
      <w:rFonts w:cs="Wingdings"/>
    </w:rPr>
  </w:style>
  <w:style w:type="character" w:styleId="ListLabel3023" w:customStyle="1">
    <w:name w:val="ListLabel 3023"/>
    <w:qFormat/>
    <w:rPr>
      <w:rFonts w:cs="Symbol"/>
    </w:rPr>
  </w:style>
  <w:style w:type="character" w:styleId="ListLabel3024" w:customStyle="1">
    <w:name w:val="ListLabel 3024"/>
    <w:qFormat/>
    <w:rPr>
      <w:rFonts w:cs="Times New Roman"/>
    </w:rPr>
  </w:style>
  <w:style w:type="character" w:styleId="ListLabel3025" w:customStyle="1">
    <w:name w:val="ListLabel 3025"/>
    <w:qFormat/>
    <w:rPr>
      <w:rFonts w:cs="Wingdings"/>
    </w:rPr>
  </w:style>
  <w:style w:type="character" w:styleId="ListLabel3026" w:customStyle="1">
    <w:name w:val="ListLabel 3026"/>
    <w:qFormat/>
    <w:rPr>
      <w:rFonts w:cs="Symbol"/>
      <w:sz w:val="24"/>
    </w:rPr>
  </w:style>
  <w:style w:type="character" w:styleId="ListLabel3027" w:customStyle="1">
    <w:name w:val="ListLabel 3027"/>
    <w:qFormat/>
    <w:rPr>
      <w:rFonts w:cs="Calibri"/>
    </w:rPr>
  </w:style>
  <w:style w:type="character" w:styleId="ListLabel3028" w:customStyle="1">
    <w:name w:val="ListLabel 3028"/>
    <w:qFormat/>
    <w:rPr>
      <w:rFonts w:cs="Wingdings"/>
    </w:rPr>
  </w:style>
  <w:style w:type="character" w:styleId="ListLabel3029" w:customStyle="1">
    <w:name w:val="ListLabel 3029"/>
    <w:qFormat/>
    <w:rPr>
      <w:rFonts w:cs="Symbol"/>
    </w:rPr>
  </w:style>
  <w:style w:type="character" w:styleId="ListLabel3030" w:customStyle="1">
    <w:name w:val="ListLabel 3030"/>
    <w:qFormat/>
    <w:rPr>
      <w:rFonts w:cs="Courier New"/>
    </w:rPr>
  </w:style>
  <w:style w:type="character" w:styleId="ListLabel3031" w:customStyle="1">
    <w:name w:val="ListLabel 3031"/>
    <w:qFormat/>
    <w:rPr>
      <w:rFonts w:cs="Wingdings"/>
    </w:rPr>
  </w:style>
  <w:style w:type="character" w:styleId="ListLabel3032" w:customStyle="1">
    <w:name w:val="ListLabel 3032"/>
    <w:qFormat/>
    <w:rPr>
      <w:rFonts w:cs="Symbol"/>
    </w:rPr>
  </w:style>
  <w:style w:type="character" w:styleId="ListLabel3033" w:customStyle="1">
    <w:name w:val="ListLabel 3033"/>
    <w:qFormat/>
    <w:rPr>
      <w:rFonts w:cs="Wingdings"/>
    </w:rPr>
  </w:style>
  <w:style w:type="character" w:styleId="ListLabel3034" w:customStyle="1">
    <w:name w:val="ListLabel 3034"/>
    <w:qFormat/>
    <w:rPr>
      <w:rFonts w:cs="Wingdings"/>
    </w:rPr>
  </w:style>
  <w:style w:type="character" w:styleId="ListLabel3035" w:customStyle="1">
    <w:name w:val="ListLabel 3035"/>
    <w:qFormat/>
    <w:rPr>
      <w:rFonts w:cs="Symbol"/>
      <w:sz w:val="24"/>
    </w:rPr>
  </w:style>
  <w:style w:type="character" w:styleId="ListLabel3036" w:customStyle="1">
    <w:name w:val="ListLabel 3036"/>
    <w:qFormat/>
    <w:rPr>
      <w:rFonts w:cs="Symbol"/>
    </w:rPr>
  </w:style>
  <w:style w:type="character" w:styleId="ListLabel3037" w:customStyle="1">
    <w:name w:val="ListLabel 3037"/>
    <w:qFormat/>
    <w:rPr>
      <w:rFonts w:cs="Wingdings"/>
    </w:rPr>
  </w:style>
  <w:style w:type="character" w:styleId="ListLabel3038" w:customStyle="1">
    <w:name w:val="ListLabel 3038"/>
    <w:qFormat/>
    <w:rPr>
      <w:rFonts w:cs="Symbol"/>
    </w:rPr>
  </w:style>
  <w:style w:type="character" w:styleId="ListLabel3039" w:customStyle="1">
    <w:name w:val="ListLabel 3039"/>
    <w:qFormat/>
    <w:rPr>
      <w:rFonts w:cs="Courier New"/>
    </w:rPr>
  </w:style>
  <w:style w:type="character" w:styleId="ListLabel3040" w:customStyle="1">
    <w:name w:val="ListLabel 3040"/>
    <w:qFormat/>
    <w:rPr>
      <w:rFonts w:cs="Wingdings"/>
    </w:rPr>
  </w:style>
  <w:style w:type="character" w:styleId="ListLabel3041" w:customStyle="1">
    <w:name w:val="ListLabel 3041"/>
    <w:qFormat/>
    <w:rPr>
      <w:rFonts w:cs="Symbol"/>
    </w:rPr>
  </w:style>
  <w:style w:type="character" w:styleId="ListLabel3042" w:customStyle="1">
    <w:name w:val="ListLabel 3042"/>
    <w:qFormat/>
    <w:rPr>
      <w:rFonts w:cs="Wingdings"/>
    </w:rPr>
  </w:style>
  <w:style w:type="character" w:styleId="ListLabel3043" w:customStyle="1">
    <w:name w:val="ListLabel 3043"/>
    <w:qFormat/>
    <w:rPr>
      <w:rFonts w:cs="Wingdings"/>
    </w:rPr>
  </w:style>
  <w:style w:type="character" w:styleId="ListLabel3044" w:customStyle="1">
    <w:name w:val="ListLabel 3044"/>
    <w:qFormat/>
    <w:rPr>
      <w:rFonts w:cs="Symbol"/>
      <w:sz w:val="24"/>
    </w:rPr>
  </w:style>
  <w:style w:type="character" w:styleId="ListLabel3045" w:customStyle="1">
    <w:name w:val="ListLabel 3045"/>
    <w:qFormat/>
    <w:rPr>
      <w:rFonts w:cs="Courier New"/>
    </w:rPr>
  </w:style>
  <w:style w:type="character" w:styleId="ListLabel3046" w:customStyle="1">
    <w:name w:val="ListLabel 3046"/>
    <w:qFormat/>
    <w:rPr>
      <w:rFonts w:cs="Wingdings"/>
    </w:rPr>
  </w:style>
  <w:style w:type="character" w:styleId="ListLabel3047" w:customStyle="1">
    <w:name w:val="ListLabel 3047"/>
    <w:qFormat/>
    <w:rPr>
      <w:rFonts w:cs="Symbol"/>
    </w:rPr>
  </w:style>
  <w:style w:type="character" w:styleId="ListLabel3048" w:customStyle="1">
    <w:name w:val="ListLabel 3048"/>
    <w:qFormat/>
    <w:rPr>
      <w:rFonts w:cs="Wingdings"/>
    </w:rPr>
  </w:style>
  <w:style w:type="character" w:styleId="ListLabel3049" w:customStyle="1">
    <w:name w:val="ListLabel 3049"/>
    <w:qFormat/>
    <w:rPr>
      <w:rFonts w:cs="Wingdings"/>
    </w:rPr>
  </w:style>
  <w:style w:type="character" w:styleId="ListLabel3050" w:customStyle="1">
    <w:name w:val="ListLabel 3050"/>
    <w:qFormat/>
    <w:rPr>
      <w:rFonts w:cs="Symbol"/>
    </w:rPr>
  </w:style>
  <w:style w:type="character" w:styleId="ListLabel3051" w:customStyle="1">
    <w:name w:val="ListLabel 3051"/>
    <w:qFormat/>
    <w:rPr>
      <w:rFonts w:cs="Symbol"/>
      <w:b/>
    </w:rPr>
  </w:style>
  <w:style w:type="character" w:styleId="ListLabel3052" w:customStyle="1">
    <w:name w:val="ListLabel 3052"/>
    <w:qFormat/>
    <w:rPr>
      <w:rFonts w:cs="Wingdings"/>
    </w:rPr>
  </w:style>
  <w:style w:type="character" w:styleId="ListLabel3053" w:customStyle="1">
    <w:name w:val="ListLabel 3053"/>
    <w:qFormat/>
    <w:rPr>
      <w:rFonts w:cs="Symbol"/>
      <w:sz w:val="24"/>
    </w:rPr>
  </w:style>
  <w:style w:type="character" w:styleId="ListLabel3054" w:customStyle="1">
    <w:name w:val="ListLabel 3054"/>
    <w:qFormat/>
    <w:rPr>
      <w:rFonts w:cs="Symbol"/>
    </w:rPr>
  </w:style>
  <w:style w:type="character" w:styleId="ListLabel3055" w:customStyle="1">
    <w:name w:val="ListLabel 3055"/>
    <w:qFormat/>
    <w:rPr>
      <w:rFonts w:cs="Wingdings"/>
    </w:rPr>
  </w:style>
  <w:style w:type="character" w:styleId="ListLabel3056" w:customStyle="1">
    <w:name w:val="ListLabel 3056"/>
    <w:qFormat/>
    <w:rPr>
      <w:rFonts w:cs="Symbol"/>
    </w:rPr>
  </w:style>
  <w:style w:type="character" w:styleId="ListLabel3057" w:customStyle="1">
    <w:name w:val="ListLabel 3057"/>
    <w:qFormat/>
    <w:rPr>
      <w:rFonts w:cs="Courier New"/>
    </w:rPr>
  </w:style>
  <w:style w:type="character" w:styleId="ListLabel3058" w:customStyle="1">
    <w:name w:val="ListLabel 3058"/>
    <w:qFormat/>
    <w:rPr>
      <w:rFonts w:cs="Wingdings"/>
    </w:rPr>
  </w:style>
  <w:style w:type="character" w:styleId="ListLabel3059" w:customStyle="1">
    <w:name w:val="ListLabel 3059"/>
    <w:qFormat/>
    <w:rPr>
      <w:rFonts w:cs="Symbol"/>
    </w:rPr>
  </w:style>
  <w:style w:type="character" w:styleId="ListLabel3060" w:customStyle="1">
    <w:name w:val="ListLabel 3060"/>
    <w:qFormat/>
    <w:rPr>
      <w:rFonts w:cs="Wingdings"/>
    </w:rPr>
  </w:style>
  <w:style w:type="character" w:styleId="ListLabel3061" w:customStyle="1">
    <w:name w:val="ListLabel 3061"/>
    <w:qFormat/>
    <w:rPr>
      <w:rFonts w:cs="Wingdings"/>
    </w:rPr>
  </w:style>
  <w:style w:type="character" w:styleId="ListLabel3062" w:customStyle="1">
    <w:name w:val="ListLabel 3062"/>
    <w:qFormat/>
    <w:rPr>
      <w:rFonts w:cs="Symbol"/>
      <w:sz w:val="24"/>
    </w:rPr>
  </w:style>
  <w:style w:type="character" w:styleId="ListLabel3063" w:customStyle="1">
    <w:name w:val="ListLabel 3063"/>
    <w:qFormat/>
    <w:rPr>
      <w:rFonts w:cs="Times New Roman"/>
    </w:rPr>
  </w:style>
  <w:style w:type="character" w:styleId="ListLabel3064" w:customStyle="1">
    <w:name w:val="ListLabel 3064"/>
    <w:qFormat/>
    <w:rPr>
      <w:rFonts w:cs="Wingdings"/>
    </w:rPr>
  </w:style>
  <w:style w:type="character" w:styleId="ListLabel3065" w:customStyle="1">
    <w:name w:val="ListLabel 3065"/>
    <w:qFormat/>
    <w:rPr>
      <w:rFonts w:cs="Symbol"/>
    </w:rPr>
  </w:style>
  <w:style w:type="character" w:styleId="ListLabel3066" w:customStyle="1">
    <w:name w:val="ListLabel 3066"/>
    <w:qFormat/>
    <w:rPr>
      <w:rFonts w:cs="Times New Roman"/>
    </w:rPr>
  </w:style>
  <w:style w:type="character" w:styleId="ListLabel3067" w:customStyle="1">
    <w:name w:val="ListLabel 3067"/>
    <w:qFormat/>
    <w:rPr>
      <w:rFonts w:cs="Wingdings"/>
    </w:rPr>
  </w:style>
  <w:style w:type="character" w:styleId="ListLabel3068" w:customStyle="1">
    <w:name w:val="ListLabel 3068"/>
    <w:qFormat/>
    <w:rPr>
      <w:rFonts w:cs="Symbol"/>
    </w:rPr>
  </w:style>
  <w:style w:type="character" w:styleId="ListLabel3069" w:customStyle="1">
    <w:name w:val="ListLabel 3069"/>
    <w:qFormat/>
    <w:rPr>
      <w:rFonts w:cs="Times New Roman"/>
    </w:rPr>
  </w:style>
  <w:style w:type="character" w:styleId="ListLabel3070" w:customStyle="1">
    <w:name w:val="ListLabel 3070"/>
    <w:qFormat/>
    <w:rPr>
      <w:rFonts w:cs="Wingdings"/>
    </w:rPr>
  </w:style>
  <w:style w:type="character" w:styleId="ListLabel3071" w:customStyle="1">
    <w:name w:val="ListLabel 3071"/>
    <w:qFormat/>
    <w:rPr>
      <w:rFonts w:cs="Wingdings"/>
      <w:sz w:val="24"/>
    </w:rPr>
  </w:style>
  <w:style w:type="character" w:styleId="ListLabel3072" w:customStyle="1">
    <w:name w:val="ListLabel 3072"/>
    <w:qFormat/>
    <w:rPr>
      <w:rFonts w:cs="Times New Roman"/>
    </w:rPr>
  </w:style>
  <w:style w:type="character" w:styleId="ListLabel3073" w:customStyle="1">
    <w:name w:val="ListLabel 3073"/>
    <w:qFormat/>
    <w:rPr>
      <w:rFonts w:cs="Wingdings"/>
    </w:rPr>
  </w:style>
  <w:style w:type="character" w:styleId="ListLabel3074" w:customStyle="1">
    <w:name w:val="ListLabel 3074"/>
    <w:qFormat/>
    <w:rPr>
      <w:rFonts w:cs="Symbol"/>
    </w:rPr>
  </w:style>
  <w:style w:type="character" w:styleId="ListLabel3075" w:customStyle="1">
    <w:name w:val="ListLabel 3075"/>
    <w:qFormat/>
    <w:rPr>
      <w:rFonts w:cs="Times New Roman"/>
    </w:rPr>
  </w:style>
  <w:style w:type="character" w:styleId="ListLabel3076" w:customStyle="1">
    <w:name w:val="ListLabel 3076"/>
    <w:qFormat/>
    <w:rPr>
      <w:rFonts w:cs="Wingdings"/>
    </w:rPr>
  </w:style>
  <w:style w:type="character" w:styleId="ListLabel3077" w:customStyle="1">
    <w:name w:val="ListLabel 3077"/>
    <w:qFormat/>
    <w:rPr>
      <w:rFonts w:cs="Symbol"/>
    </w:rPr>
  </w:style>
  <w:style w:type="character" w:styleId="ListLabel3078" w:customStyle="1">
    <w:name w:val="ListLabel 3078"/>
    <w:qFormat/>
    <w:rPr>
      <w:rFonts w:cs="Times New Roman"/>
    </w:rPr>
  </w:style>
  <w:style w:type="character" w:styleId="ListLabel3079" w:customStyle="1">
    <w:name w:val="ListLabel 3079"/>
    <w:qFormat/>
    <w:rPr>
      <w:rFonts w:cs="Wingdings"/>
    </w:rPr>
  </w:style>
  <w:style w:type="character" w:styleId="ListLabel3080" w:customStyle="1">
    <w:name w:val="ListLabel 3080"/>
    <w:qFormat/>
    <w:rPr>
      <w:rFonts w:eastAsia="Arial Unicode MS" w:cs="Calibri"/>
      <w:sz w:val="24"/>
      <w:lang w:val="en-US"/>
    </w:rPr>
  </w:style>
  <w:style w:type="character" w:styleId="ListLabel3081" w:customStyle="1">
    <w:name w:val="ListLabel 3081"/>
    <w:qFormat/>
    <w:rPr>
      <w:sz w:val="24"/>
    </w:rPr>
  </w:style>
  <w:style w:type="character" w:styleId="ListLabel3082" w:customStyle="1">
    <w:name w:val="ListLabel 3082"/>
    <w:qFormat/>
    <w:rPr>
      <w:rFonts w:eastAsia="Arial Unicode MS" w:cs="Calibri"/>
      <w:sz w:val="24"/>
    </w:rPr>
  </w:style>
  <w:style w:type="character" w:styleId="ListLabel3083" w:customStyle="1">
    <w:name w:val="ListLabel 3083"/>
    <w:qFormat/>
    <w:rPr>
      <w:rFonts w:eastAsia="Arial Unicode MS" w:cs="Calibri"/>
      <w:sz w:val="24"/>
      <w:lang w:val="el-GR"/>
    </w:rPr>
  </w:style>
  <w:style w:type="character" w:styleId="ListLabel3084" w:customStyle="1">
    <w:name w:val="ListLabel 3084"/>
    <w:qFormat/>
    <w:rPr>
      <w:sz w:val="24"/>
      <w:lang w:val="el-GR"/>
    </w:rPr>
  </w:style>
  <w:style w:type="character" w:styleId="ListLabel3085" w:customStyle="1">
    <w:name w:val="ListLabel 3085"/>
    <w:qFormat/>
    <w:rPr>
      <w:rFonts w:eastAsia="Arial Unicode MS"/>
      <w:bCs/>
      <w:sz w:val="24"/>
      <w:lang w:val="en-US"/>
    </w:rPr>
  </w:style>
  <w:style w:type="character" w:styleId="ListLabel3086" w:customStyle="1">
    <w:name w:val="ListLabel 3086"/>
    <w:qFormat/>
    <w:rPr>
      <w:rFonts w:eastAsia="Arial Unicode MS"/>
      <w:bCs/>
      <w:sz w:val="24"/>
      <w:lang w:val="el-GR"/>
    </w:rPr>
  </w:style>
  <w:style w:type="character" w:styleId="ListLabel3087" w:customStyle="1">
    <w:name w:val="ListLabel 3087"/>
    <w:qFormat/>
    <w:rPr>
      <w:rFonts w:cs="Tahoma"/>
      <w:i/>
      <w:iCs/>
      <w:color w:val="auto"/>
      <w:sz w:val="24"/>
    </w:rPr>
  </w:style>
  <w:style w:type="character" w:styleId="ListLabel3088" w:customStyle="1">
    <w:name w:val="ListLabel 3088"/>
    <w:qFormat/>
    <w:rPr>
      <w:rFonts w:cs="Tahoma"/>
      <w:color w:val="auto"/>
      <w:sz w:val="24"/>
      <w:lang w:val="el-GR"/>
    </w:rPr>
  </w:style>
  <w:style w:type="character" w:styleId="ListLabel3089" w:customStyle="1">
    <w:name w:val="ListLabel 3089"/>
    <w:qFormat/>
    <w:rPr>
      <w:rFonts w:ascii="Calibri" w:hAnsi="Calibri" w:cs="Calibri"/>
      <w:sz w:val="24"/>
      <w:szCs w:val="24"/>
    </w:rPr>
  </w:style>
  <w:style w:type="character" w:styleId="ListLabel3090" w:customStyle="1">
    <w:name w:val="ListLabel 3090"/>
    <w:qFormat/>
    <w:rPr>
      <w:rFonts w:eastAsia="Arial Unicode MS" w:cs="Calibri"/>
      <w:sz w:val="24"/>
      <w:szCs w:val="24"/>
    </w:rPr>
  </w:style>
  <w:style w:type="character" w:styleId="ListLabel3091" w:customStyle="1">
    <w:name w:val="ListLabel 3091"/>
    <w:qFormat/>
    <w:rPr>
      <w:rFonts w:eastAsia="Arial Unicode MS" w:cs="Times New Roman"/>
      <w:sz w:val="24"/>
      <w:lang w:val="el-GR" w:eastAsia="el-GR"/>
    </w:rPr>
  </w:style>
  <w:style w:type="character" w:styleId="ListLabel3092" w:customStyle="1">
    <w:name w:val="ListLabel 3092"/>
    <w:qFormat/>
    <w:rPr>
      <w:rFonts w:cs="Tahoma"/>
      <w:sz w:val="24"/>
      <w:lang w:eastAsia="el-GR"/>
    </w:rPr>
  </w:style>
  <w:style w:type="character" w:styleId="ListLabel3093" w:customStyle="1">
    <w:name w:val="ListLabel 3093"/>
    <w:qFormat/>
    <w:rPr>
      <w:rFonts w:cs="Tahoma"/>
      <w:sz w:val="24"/>
      <w:lang w:val="el-GR" w:eastAsia="el-GR"/>
    </w:rPr>
  </w:style>
  <w:style w:type="character" w:styleId="ListLabel3094" w:customStyle="1">
    <w:name w:val="ListLabel 3094"/>
    <w:qFormat/>
    <w:rPr>
      <w:rFonts w:cs="Times New Roman"/>
      <w:sz w:val="22"/>
    </w:rPr>
  </w:style>
  <w:style w:type="character" w:styleId="ListLabel3095" w:customStyle="1">
    <w:name w:val="ListLabel 3095"/>
    <w:qFormat/>
    <w:rPr>
      <w:rFonts w:cs="Symbol"/>
      <w:strike/>
      <w:color w:val="0070C0"/>
      <w:kern w:val="2"/>
      <w:position w:val="0"/>
      <w:sz w:val="24"/>
      <w:sz w:val="24"/>
      <w:vertAlign w:val="baseline"/>
    </w:rPr>
  </w:style>
  <w:style w:type="character" w:styleId="ListLabel3096" w:customStyle="1">
    <w:name w:val="ListLabel 3096"/>
    <w:qFormat/>
    <w:rPr>
      <w:rFonts w:cs="Calibri"/>
      <w:sz w:val="24"/>
    </w:rPr>
  </w:style>
  <w:style w:type="character" w:styleId="ListLabel3097" w:customStyle="1">
    <w:name w:val="ListLabel 3097"/>
    <w:qFormat/>
    <w:rPr>
      <w:rFonts w:cs="Courier New"/>
    </w:rPr>
  </w:style>
  <w:style w:type="character" w:styleId="ListLabel3098" w:customStyle="1">
    <w:name w:val="ListLabel 3098"/>
    <w:qFormat/>
    <w:rPr>
      <w:rFonts w:cs="Wingdings"/>
    </w:rPr>
  </w:style>
  <w:style w:type="character" w:styleId="ListLabel3099" w:customStyle="1">
    <w:name w:val="ListLabel 3099"/>
    <w:qFormat/>
    <w:rPr>
      <w:rFonts w:cs="Symbol"/>
    </w:rPr>
  </w:style>
  <w:style w:type="character" w:styleId="ListLabel3100" w:customStyle="1">
    <w:name w:val="ListLabel 3100"/>
    <w:qFormat/>
    <w:rPr>
      <w:rFonts w:cs="Courier New"/>
    </w:rPr>
  </w:style>
  <w:style w:type="character" w:styleId="ListLabel3101" w:customStyle="1">
    <w:name w:val="ListLabel 3101"/>
    <w:qFormat/>
    <w:rPr>
      <w:rFonts w:cs="Wingdings"/>
    </w:rPr>
  </w:style>
  <w:style w:type="character" w:styleId="ListLabel3102" w:customStyle="1">
    <w:name w:val="ListLabel 3102"/>
    <w:qFormat/>
    <w:rPr>
      <w:rFonts w:cs="Symbol"/>
    </w:rPr>
  </w:style>
  <w:style w:type="character" w:styleId="ListLabel3103" w:customStyle="1">
    <w:name w:val="ListLabel 3103"/>
    <w:qFormat/>
    <w:rPr>
      <w:rFonts w:cs="Courier New"/>
    </w:rPr>
  </w:style>
  <w:style w:type="character" w:styleId="ListLabel3104" w:customStyle="1">
    <w:name w:val="ListLabel 3104"/>
    <w:qFormat/>
    <w:rPr>
      <w:rFonts w:cs="Wingdings"/>
    </w:rPr>
  </w:style>
  <w:style w:type="character" w:styleId="ListLabel3105" w:customStyle="1">
    <w:name w:val="ListLabel 3105"/>
    <w:qFormat/>
    <w:rPr>
      <w:rFonts w:cs="Wingdings"/>
      <w:color w:val="auto"/>
      <w:sz w:val="24"/>
    </w:rPr>
  </w:style>
  <w:style w:type="character" w:styleId="ListLabel3106" w:customStyle="1">
    <w:name w:val="ListLabel 3106"/>
    <w:qFormat/>
    <w:rPr>
      <w:rFonts w:cs="Courier New"/>
    </w:rPr>
  </w:style>
  <w:style w:type="character" w:styleId="ListLabel3107" w:customStyle="1">
    <w:name w:val="ListLabel 3107"/>
    <w:qFormat/>
    <w:rPr>
      <w:rFonts w:cs="Wingdings"/>
    </w:rPr>
  </w:style>
  <w:style w:type="character" w:styleId="ListLabel3108" w:customStyle="1">
    <w:name w:val="ListLabel 3108"/>
    <w:qFormat/>
    <w:rPr>
      <w:rFonts w:cs="Symbol"/>
    </w:rPr>
  </w:style>
  <w:style w:type="character" w:styleId="ListLabel3109" w:customStyle="1">
    <w:name w:val="ListLabel 3109"/>
    <w:qFormat/>
    <w:rPr>
      <w:rFonts w:cs="Courier New"/>
    </w:rPr>
  </w:style>
  <w:style w:type="character" w:styleId="ListLabel3110" w:customStyle="1">
    <w:name w:val="ListLabel 3110"/>
    <w:qFormat/>
    <w:rPr>
      <w:rFonts w:cs="Wingdings"/>
    </w:rPr>
  </w:style>
  <w:style w:type="character" w:styleId="ListLabel3111" w:customStyle="1">
    <w:name w:val="ListLabel 3111"/>
    <w:qFormat/>
    <w:rPr>
      <w:rFonts w:cs="Symbol"/>
    </w:rPr>
  </w:style>
  <w:style w:type="character" w:styleId="ListLabel3112" w:customStyle="1">
    <w:name w:val="ListLabel 3112"/>
    <w:qFormat/>
    <w:rPr>
      <w:rFonts w:cs="Courier New"/>
    </w:rPr>
  </w:style>
  <w:style w:type="character" w:styleId="ListLabel3113" w:customStyle="1">
    <w:name w:val="ListLabel 3113"/>
    <w:qFormat/>
    <w:rPr>
      <w:rFonts w:cs="Wingdings"/>
    </w:rPr>
  </w:style>
  <w:style w:type="character" w:styleId="ListLabel3114" w:customStyle="1">
    <w:name w:val="ListLabel 3114"/>
    <w:qFormat/>
    <w:rPr>
      <w:rFonts w:cs="Times New Roman"/>
    </w:rPr>
  </w:style>
  <w:style w:type="character" w:styleId="ListLabel3115" w:customStyle="1">
    <w:name w:val="ListLabel 3115"/>
    <w:qFormat/>
    <w:rPr>
      <w:rFonts w:cs="Times New Roman"/>
    </w:rPr>
  </w:style>
  <w:style w:type="character" w:styleId="ListLabel3116" w:customStyle="1">
    <w:name w:val="ListLabel 3116"/>
    <w:qFormat/>
    <w:rPr>
      <w:rFonts w:cs="Times New Roman"/>
    </w:rPr>
  </w:style>
  <w:style w:type="character" w:styleId="ListLabel3117" w:customStyle="1">
    <w:name w:val="ListLabel 3117"/>
    <w:qFormat/>
    <w:rPr>
      <w:rFonts w:cs="Times New Roman"/>
    </w:rPr>
  </w:style>
  <w:style w:type="character" w:styleId="ListLabel3118" w:customStyle="1">
    <w:name w:val="ListLabel 3118"/>
    <w:qFormat/>
    <w:rPr>
      <w:rFonts w:cs="Times New Roman"/>
    </w:rPr>
  </w:style>
  <w:style w:type="character" w:styleId="ListLabel3119" w:customStyle="1">
    <w:name w:val="ListLabel 3119"/>
    <w:qFormat/>
    <w:rPr>
      <w:rFonts w:cs="Times New Roman"/>
    </w:rPr>
  </w:style>
  <w:style w:type="character" w:styleId="ListLabel3120" w:customStyle="1">
    <w:name w:val="ListLabel 3120"/>
    <w:qFormat/>
    <w:rPr>
      <w:rFonts w:cs="Times New Roman"/>
    </w:rPr>
  </w:style>
  <w:style w:type="character" w:styleId="ListLabel3121" w:customStyle="1">
    <w:name w:val="ListLabel 3121"/>
    <w:qFormat/>
    <w:rPr>
      <w:rFonts w:cs="Times New Roman"/>
    </w:rPr>
  </w:style>
  <w:style w:type="character" w:styleId="ListLabel3122" w:customStyle="1">
    <w:name w:val="ListLabel 3122"/>
    <w:qFormat/>
    <w:rPr>
      <w:rFonts w:cs="Times New Roman"/>
    </w:rPr>
  </w:style>
  <w:style w:type="character" w:styleId="ListLabel3123" w:customStyle="1">
    <w:name w:val="ListLabel 3123"/>
    <w:qFormat/>
    <w:rPr>
      <w:rFonts w:cs="Symbol"/>
      <w:b/>
      <w:sz w:val="24"/>
    </w:rPr>
  </w:style>
  <w:style w:type="character" w:styleId="ListLabel3124" w:customStyle="1">
    <w:name w:val="ListLabel 3124"/>
    <w:qFormat/>
    <w:rPr>
      <w:rFonts w:cs="Courier New"/>
    </w:rPr>
  </w:style>
  <w:style w:type="character" w:styleId="ListLabel3125" w:customStyle="1">
    <w:name w:val="ListLabel 3125"/>
    <w:qFormat/>
    <w:rPr>
      <w:rFonts w:cs="Wingdings"/>
    </w:rPr>
  </w:style>
  <w:style w:type="character" w:styleId="ListLabel3126" w:customStyle="1">
    <w:name w:val="ListLabel 3126"/>
    <w:qFormat/>
    <w:rPr>
      <w:rFonts w:cs="Symbol"/>
    </w:rPr>
  </w:style>
  <w:style w:type="character" w:styleId="ListLabel3127" w:customStyle="1">
    <w:name w:val="ListLabel 3127"/>
    <w:qFormat/>
    <w:rPr>
      <w:rFonts w:cs="Courier New"/>
    </w:rPr>
  </w:style>
  <w:style w:type="character" w:styleId="ListLabel3128" w:customStyle="1">
    <w:name w:val="ListLabel 3128"/>
    <w:qFormat/>
    <w:rPr>
      <w:rFonts w:cs="Wingdings"/>
    </w:rPr>
  </w:style>
  <w:style w:type="character" w:styleId="ListLabel3129" w:customStyle="1">
    <w:name w:val="ListLabel 3129"/>
    <w:qFormat/>
    <w:rPr>
      <w:rFonts w:cs="Symbol"/>
    </w:rPr>
  </w:style>
  <w:style w:type="character" w:styleId="ListLabel3130" w:customStyle="1">
    <w:name w:val="ListLabel 3130"/>
    <w:qFormat/>
    <w:rPr>
      <w:rFonts w:cs="Courier New"/>
    </w:rPr>
  </w:style>
  <w:style w:type="character" w:styleId="ListLabel3131" w:customStyle="1">
    <w:name w:val="ListLabel 3131"/>
    <w:qFormat/>
    <w:rPr>
      <w:rFonts w:cs="Wingdings"/>
    </w:rPr>
  </w:style>
  <w:style w:type="character" w:styleId="ListLabel3132" w:customStyle="1">
    <w:name w:val="ListLabel 3132"/>
    <w:qFormat/>
    <w:rPr>
      <w:rFonts w:cs="Symbol"/>
      <w:strike/>
      <w:color w:val="0070C0"/>
      <w:kern w:val="2"/>
      <w:position w:val="0"/>
      <w:sz w:val="24"/>
      <w:sz w:val="24"/>
      <w:vertAlign w:val="baseline"/>
      <w:lang w:val="el-GR"/>
    </w:rPr>
  </w:style>
  <w:style w:type="character" w:styleId="ListLabel3133" w:customStyle="1">
    <w:name w:val="ListLabel 3133"/>
    <w:qFormat/>
    <w:rPr>
      <w:rFonts w:cs="Courier New"/>
    </w:rPr>
  </w:style>
  <w:style w:type="character" w:styleId="ListLabel3134" w:customStyle="1">
    <w:name w:val="ListLabel 3134"/>
    <w:qFormat/>
    <w:rPr>
      <w:rFonts w:cs="Wingdings"/>
      <w:sz w:val="20"/>
    </w:rPr>
  </w:style>
  <w:style w:type="character" w:styleId="ListLabel3135" w:customStyle="1">
    <w:name w:val="ListLabel 3135"/>
    <w:qFormat/>
    <w:rPr>
      <w:rFonts w:cs="Wingdings"/>
      <w:sz w:val="20"/>
    </w:rPr>
  </w:style>
  <w:style w:type="character" w:styleId="ListLabel3136" w:customStyle="1">
    <w:name w:val="ListLabel 3136"/>
    <w:qFormat/>
    <w:rPr>
      <w:rFonts w:cs="Wingdings"/>
      <w:sz w:val="20"/>
    </w:rPr>
  </w:style>
  <w:style w:type="character" w:styleId="ListLabel3137" w:customStyle="1">
    <w:name w:val="ListLabel 3137"/>
    <w:qFormat/>
    <w:rPr>
      <w:rFonts w:cs="Wingdings"/>
      <w:sz w:val="20"/>
    </w:rPr>
  </w:style>
  <w:style w:type="character" w:styleId="ListLabel3138" w:customStyle="1">
    <w:name w:val="ListLabel 3138"/>
    <w:qFormat/>
    <w:rPr>
      <w:rFonts w:cs="Wingdings"/>
      <w:sz w:val="20"/>
    </w:rPr>
  </w:style>
  <w:style w:type="character" w:styleId="ListLabel3139" w:customStyle="1">
    <w:name w:val="ListLabel 3139"/>
    <w:qFormat/>
    <w:rPr>
      <w:rFonts w:cs="Wingdings"/>
      <w:sz w:val="20"/>
    </w:rPr>
  </w:style>
  <w:style w:type="character" w:styleId="ListLabel3140" w:customStyle="1">
    <w:name w:val="ListLabel 3140"/>
    <w:qFormat/>
    <w:rPr>
      <w:rFonts w:cs="Wingdings"/>
      <w:sz w:val="20"/>
    </w:rPr>
  </w:style>
  <w:style w:type="character" w:styleId="ListLabel3141" w:customStyle="1">
    <w:name w:val="ListLabel 3141"/>
    <w:qFormat/>
    <w:rPr>
      <w:b/>
      <w:bCs/>
      <w:sz w:val="24"/>
    </w:rPr>
  </w:style>
  <w:style w:type="character" w:styleId="ListLabel3142" w:customStyle="1">
    <w:name w:val="ListLabel 3142"/>
    <w:qFormat/>
    <w:rPr>
      <w:rFonts w:cs="Wingdings"/>
      <w:b/>
      <w:sz w:val="24"/>
    </w:rPr>
  </w:style>
  <w:style w:type="character" w:styleId="ListLabel3143" w:customStyle="1">
    <w:name w:val="ListLabel 3143"/>
    <w:qFormat/>
    <w:rPr>
      <w:rFonts w:cs="Courier New"/>
    </w:rPr>
  </w:style>
  <w:style w:type="character" w:styleId="ListLabel3144" w:customStyle="1">
    <w:name w:val="ListLabel 3144"/>
    <w:qFormat/>
    <w:rPr>
      <w:rFonts w:cs="Wingdings"/>
    </w:rPr>
  </w:style>
  <w:style w:type="character" w:styleId="ListLabel3145" w:customStyle="1">
    <w:name w:val="ListLabel 3145"/>
    <w:qFormat/>
    <w:rPr>
      <w:rFonts w:cs="Symbol"/>
    </w:rPr>
  </w:style>
  <w:style w:type="character" w:styleId="ListLabel3146" w:customStyle="1">
    <w:name w:val="ListLabel 3146"/>
    <w:qFormat/>
    <w:rPr>
      <w:rFonts w:cs="Courier New"/>
    </w:rPr>
  </w:style>
  <w:style w:type="character" w:styleId="ListLabel3147" w:customStyle="1">
    <w:name w:val="ListLabel 3147"/>
    <w:qFormat/>
    <w:rPr>
      <w:rFonts w:cs="Wingdings"/>
    </w:rPr>
  </w:style>
  <w:style w:type="character" w:styleId="ListLabel3148" w:customStyle="1">
    <w:name w:val="ListLabel 3148"/>
    <w:qFormat/>
    <w:rPr>
      <w:rFonts w:cs="Symbol"/>
    </w:rPr>
  </w:style>
  <w:style w:type="character" w:styleId="ListLabel3149" w:customStyle="1">
    <w:name w:val="ListLabel 3149"/>
    <w:qFormat/>
    <w:rPr>
      <w:rFonts w:cs="Courier New"/>
    </w:rPr>
  </w:style>
  <w:style w:type="character" w:styleId="ListLabel3150" w:customStyle="1">
    <w:name w:val="ListLabel 3150"/>
    <w:qFormat/>
    <w:rPr>
      <w:rFonts w:cs="Wingdings"/>
    </w:rPr>
  </w:style>
  <w:style w:type="character" w:styleId="ListLabel3151" w:customStyle="1">
    <w:name w:val="ListLabel 3151"/>
    <w:qFormat/>
    <w:rPr>
      <w:rFonts w:cs="OpenSymbol"/>
      <w:sz w:val="24"/>
    </w:rPr>
  </w:style>
  <w:style w:type="character" w:styleId="ListLabel3152" w:customStyle="1">
    <w:name w:val="ListLabel 3152"/>
    <w:qFormat/>
    <w:rPr>
      <w:rFonts w:cs="OpenSymbol"/>
    </w:rPr>
  </w:style>
  <w:style w:type="character" w:styleId="ListLabel3153" w:customStyle="1">
    <w:name w:val="ListLabel 3153"/>
    <w:qFormat/>
    <w:rPr>
      <w:rFonts w:cs="OpenSymbol"/>
    </w:rPr>
  </w:style>
  <w:style w:type="character" w:styleId="ListLabel3154" w:customStyle="1">
    <w:name w:val="ListLabel 3154"/>
    <w:qFormat/>
    <w:rPr>
      <w:rFonts w:cs="OpenSymbol"/>
    </w:rPr>
  </w:style>
  <w:style w:type="character" w:styleId="ListLabel3155" w:customStyle="1">
    <w:name w:val="ListLabel 3155"/>
    <w:qFormat/>
    <w:rPr>
      <w:rFonts w:cs="OpenSymbol"/>
    </w:rPr>
  </w:style>
  <w:style w:type="character" w:styleId="ListLabel3156" w:customStyle="1">
    <w:name w:val="ListLabel 3156"/>
    <w:qFormat/>
    <w:rPr>
      <w:rFonts w:cs="OpenSymbol"/>
    </w:rPr>
  </w:style>
  <w:style w:type="character" w:styleId="ListLabel3157" w:customStyle="1">
    <w:name w:val="ListLabel 3157"/>
    <w:qFormat/>
    <w:rPr>
      <w:rFonts w:cs="OpenSymbol"/>
    </w:rPr>
  </w:style>
  <w:style w:type="character" w:styleId="ListLabel3158" w:customStyle="1">
    <w:name w:val="ListLabel 3158"/>
    <w:qFormat/>
    <w:rPr>
      <w:rFonts w:cs="OpenSymbol"/>
    </w:rPr>
  </w:style>
  <w:style w:type="character" w:styleId="ListLabel3159" w:customStyle="1">
    <w:name w:val="ListLabel 3159"/>
    <w:qFormat/>
    <w:rPr>
      <w:rFonts w:cs="OpenSymbol"/>
    </w:rPr>
  </w:style>
  <w:style w:type="character" w:styleId="ListLabel3160" w:customStyle="1">
    <w:name w:val="ListLabel 3160"/>
    <w:qFormat/>
    <w:rPr>
      <w:rFonts w:cs="Times New Roman"/>
      <w:sz w:val="24"/>
    </w:rPr>
  </w:style>
  <w:style w:type="character" w:styleId="ListLabel3161" w:customStyle="1">
    <w:name w:val="ListLabel 3161"/>
    <w:qFormat/>
    <w:rPr>
      <w:rFonts w:cs="Times New Roman"/>
    </w:rPr>
  </w:style>
  <w:style w:type="character" w:styleId="ListLabel3162" w:customStyle="1">
    <w:name w:val="ListLabel 3162"/>
    <w:qFormat/>
    <w:rPr>
      <w:rFonts w:cs="Times New Roman"/>
    </w:rPr>
  </w:style>
  <w:style w:type="character" w:styleId="ListLabel3163" w:customStyle="1">
    <w:name w:val="ListLabel 3163"/>
    <w:qFormat/>
    <w:rPr>
      <w:rFonts w:cs="Times New Roman"/>
    </w:rPr>
  </w:style>
  <w:style w:type="character" w:styleId="ListLabel3164" w:customStyle="1">
    <w:name w:val="ListLabel 3164"/>
    <w:qFormat/>
    <w:rPr>
      <w:rFonts w:cs="Times New Roman"/>
    </w:rPr>
  </w:style>
  <w:style w:type="character" w:styleId="ListLabel3165" w:customStyle="1">
    <w:name w:val="ListLabel 3165"/>
    <w:qFormat/>
    <w:rPr>
      <w:rFonts w:cs="Times New Roman"/>
    </w:rPr>
  </w:style>
  <w:style w:type="character" w:styleId="ListLabel3166" w:customStyle="1">
    <w:name w:val="ListLabel 3166"/>
    <w:qFormat/>
    <w:rPr>
      <w:rFonts w:cs="Times New Roman"/>
    </w:rPr>
  </w:style>
  <w:style w:type="character" w:styleId="ListLabel3167" w:customStyle="1">
    <w:name w:val="ListLabel 3167"/>
    <w:qFormat/>
    <w:rPr>
      <w:rFonts w:cs="Times New Roman"/>
    </w:rPr>
  </w:style>
  <w:style w:type="character" w:styleId="ListLabel3168" w:customStyle="1">
    <w:name w:val="ListLabel 3168"/>
    <w:qFormat/>
    <w:rPr>
      <w:rFonts w:cs="Times New Roman"/>
    </w:rPr>
  </w:style>
  <w:style w:type="character" w:styleId="ListLabel3169" w:customStyle="1">
    <w:name w:val="ListLabel 3169"/>
    <w:qFormat/>
    <w:rPr>
      <w:rFonts w:cs="Symbol"/>
      <w:sz w:val="24"/>
    </w:rPr>
  </w:style>
  <w:style w:type="character" w:styleId="ListLabel3170" w:customStyle="1">
    <w:name w:val="ListLabel 3170"/>
    <w:qFormat/>
    <w:rPr>
      <w:rFonts w:cs="Wingdings"/>
      <w:color w:val="auto"/>
    </w:rPr>
  </w:style>
  <w:style w:type="character" w:styleId="ListLabel3171" w:customStyle="1">
    <w:name w:val="ListLabel 3171"/>
    <w:qFormat/>
    <w:rPr>
      <w:rFonts w:cs="Wingdings"/>
    </w:rPr>
  </w:style>
  <w:style w:type="character" w:styleId="ListLabel3172" w:customStyle="1">
    <w:name w:val="ListLabel 3172"/>
    <w:qFormat/>
    <w:rPr>
      <w:rFonts w:cs="Symbol"/>
    </w:rPr>
  </w:style>
  <w:style w:type="character" w:styleId="ListLabel3173" w:customStyle="1">
    <w:name w:val="ListLabel 3173"/>
    <w:qFormat/>
    <w:rPr>
      <w:rFonts w:cs="Courier New"/>
    </w:rPr>
  </w:style>
  <w:style w:type="character" w:styleId="ListLabel3174" w:customStyle="1">
    <w:name w:val="ListLabel 3174"/>
    <w:qFormat/>
    <w:rPr>
      <w:rFonts w:cs="Wingdings"/>
    </w:rPr>
  </w:style>
  <w:style w:type="character" w:styleId="ListLabel3175" w:customStyle="1">
    <w:name w:val="ListLabel 3175"/>
    <w:qFormat/>
    <w:rPr>
      <w:rFonts w:cs="Symbol"/>
    </w:rPr>
  </w:style>
  <w:style w:type="character" w:styleId="ListLabel3176" w:customStyle="1">
    <w:name w:val="ListLabel 3176"/>
    <w:qFormat/>
    <w:rPr>
      <w:rFonts w:cs="Wingdings"/>
    </w:rPr>
  </w:style>
  <w:style w:type="character" w:styleId="ListLabel3177" w:customStyle="1">
    <w:name w:val="ListLabel 3177"/>
    <w:qFormat/>
    <w:rPr>
      <w:rFonts w:cs="Wingdings"/>
    </w:rPr>
  </w:style>
  <w:style w:type="character" w:styleId="ListLabel3178" w:customStyle="1">
    <w:name w:val="ListLabel 3178"/>
    <w:qFormat/>
    <w:rPr>
      <w:rFonts w:cs="Symbol"/>
      <w:b/>
      <w:sz w:val="24"/>
    </w:rPr>
  </w:style>
  <w:style w:type="character" w:styleId="ListLabel3179" w:customStyle="1">
    <w:name w:val="ListLabel 3179"/>
    <w:qFormat/>
    <w:rPr>
      <w:rFonts w:cs="Symbol"/>
      <w:sz w:val="24"/>
    </w:rPr>
  </w:style>
  <w:style w:type="character" w:styleId="ListLabel3180" w:customStyle="1">
    <w:name w:val="ListLabel 3180"/>
    <w:qFormat/>
    <w:rPr>
      <w:rFonts w:cs="Symbol"/>
    </w:rPr>
  </w:style>
  <w:style w:type="character" w:styleId="ListLabel3181" w:customStyle="1">
    <w:name w:val="ListLabel 3181"/>
    <w:qFormat/>
    <w:rPr>
      <w:rFonts w:cs="Wingdings"/>
    </w:rPr>
  </w:style>
  <w:style w:type="character" w:styleId="ListLabel3182" w:customStyle="1">
    <w:name w:val="ListLabel 3182"/>
    <w:qFormat/>
    <w:rPr>
      <w:rFonts w:cs="Symbol"/>
    </w:rPr>
  </w:style>
  <w:style w:type="character" w:styleId="ListLabel3183" w:customStyle="1">
    <w:name w:val="ListLabel 3183"/>
    <w:qFormat/>
    <w:rPr>
      <w:rFonts w:cs="Courier New"/>
    </w:rPr>
  </w:style>
  <w:style w:type="character" w:styleId="ListLabel3184" w:customStyle="1">
    <w:name w:val="ListLabel 3184"/>
    <w:qFormat/>
    <w:rPr>
      <w:rFonts w:cs="Wingdings"/>
    </w:rPr>
  </w:style>
  <w:style w:type="character" w:styleId="ListLabel3185" w:customStyle="1">
    <w:name w:val="ListLabel 3185"/>
    <w:qFormat/>
    <w:rPr>
      <w:rFonts w:cs="Symbol"/>
    </w:rPr>
  </w:style>
  <w:style w:type="character" w:styleId="ListLabel3186" w:customStyle="1">
    <w:name w:val="ListLabel 3186"/>
    <w:qFormat/>
    <w:rPr>
      <w:rFonts w:cs="Wingdings"/>
    </w:rPr>
  </w:style>
  <w:style w:type="character" w:styleId="ListLabel3187" w:customStyle="1">
    <w:name w:val="ListLabel 3187"/>
    <w:qFormat/>
    <w:rPr>
      <w:rFonts w:cs="Wingdings"/>
    </w:rPr>
  </w:style>
  <w:style w:type="character" w:styleId="ListLabel3188" w:customStyle="1">
    <w:name w:val="ListLabel 3188"/>
    <w:qFormat/>
    <w:rPr>
      <w:rFonts w:cs="Symbol"/>
      <w:sz w:val="24"/>
    </w:rPr>
  </w:style>
  <w:style w:type="character" w:styleId="ListLabel3189" w:customStyle="1">
    <w:name w:val="ListLabel 3189"/>
    <w:qFormat/>
    <w:rPr>
      <w:rFonts w:cs="Symbol"/>
    </w:rPr>
  </w:style>
  <w:style w:type="character" w:styleId="ListLabel3190" w:customStyle="1">
    <w:name w:val="ListLabel 3190"/>
    <w:qFormat/>
    <w:rPr>
      <w:rFonts w:cs="Wingdings"/>
    </w:rPr>
  </w:style>
  <w:style w:type="character" w:styleId="ListLabel3191" w:customStyle="1">
    <w:name w:val="ListLabel 3191"/>
    <w:qFormat/>
    <w:rPr>
      <w:rFonts w:cs="Symbol"/>
    </w:rPr>
  </w:style>
  <w:style w:type="character" w:styleId="ListLabel3192" w:customStyle="1">
    <w:name w:val="ListLabel 3192"/>
    <w:qFormat/>
    <w:rPr>
      <w:rFonts w:cs="Courier New"/>
    </w:rPr>
  </w:style>
  <w:style w:type="character" w:styleId="ListLabel3193" w:customStyle="1">
    <w:name w:val="ListLabel 3193"/>
    <w:qFormat/>
    <w:rPr>
      <w:rFonts w:cs="Wingdings"/>
    </w:rPr>
  </w:style>
  <w:style w:type="character" w:styleId="ListLabel3194" w:customStyle="1">
    <w:name w:val="ListLabel 3194"/>
    <w:qFormat/>
    <w:rPr>
      <w:rFonts w:cs="Symbol"/>
    </w:rPr>
  </w:style>
  <w:style w:type="character" w:styleId="ListLabel3195" w:customStyle="1">
    <w:name w:val="ListLabel 3195"/>
    <w:qFormat/>
    <w:rPr>
      <w:rFonts w:cs="Wingdings"/>
    </w:rPr>
  </w:style>
  <w:style w:type="character" w:styleId="ListLabel3196" w:customStyle="1">
    <w:name w:val="ListLabel 3196"/>
    <w:qFormat/>
    <w:rPr>
      <w:rFonts w:cs="Wingdings"/>
    </w:rPr>
  </w:style>
  <w:style w:type="character" w:styleId="ListLabel3197" w:customStyle="1">
    <w:name w:val="ListLabel 3197"/>
    <w:qFormat/>
    <w:rPr>
      <w:rFonts w:cs="Symbol"/>
      <w:sz w:val="24"/>
    </w:rPr>
  </w:style>
  <w:style w:type="character" w:styleId="ListLabel3198" w:customStyle="1">
    <w:name w:val="ListLabel 3198"/>
    <w:qFormat/>
    <w:rPr>
      <w:rFonts w:cs="Times New Roman"/>
    </w:rPr>
  </w:style>
  <w:style w:type="character" w:styleId="ListLabel3199" w:customStyle="1">
    <w:name w:val="ListLabel 3199"/>
    <w:qFormat/>
    <w:rPr>
      <w:rFonts w:cs="Wingdings"/>
    </w:rPr>
  </w:style>
  <w:style w:type="character" w:styleId="ListLabel3200" w:customStyle="1">
    <w:name w:val="ListLabel 3200"/>
    <w:qFormat/>
    <w:rPr>
      <w:rFonts w:cs="Symbol"/>
    </w:rPr>
  </w:style>
  <w:style w:type="character" w:styleId="ListLabel3201" w:customStyle="1">
    <w:name w:val="ListLabel 3201"/>
    <w:qFormat/>
    <w:rPr>
      <w:rFonts w:cs="Times New Roman"/>
    </w:rPr>
  </w:style>
  <w:style w:type="character" w:styleId="ListLabel3202" w:customStyle="1">
    <w:name w:val="ListLabel 3202"/>
    <w:qFormat/>
    <w:rPr>
      <w:rFonts w:cs="Wingdings"/>
    </w:rPr>
  </w:style>
  <w:style w:type="character" w:styleId="ListLabel3203" w:customStyle="1">
    <w:name w:val="ListLabel 3203"/>
    <w:qFormat/>
    <w:rPr>
      <w:rFonts w:cs="Symbol"/>
    </w:rPr>
  </w:style>
  <w:style w:type="character" w:styleId="ListLabel3204" w:customStyle="1">
    <w:name w:val="ListLabel 3204"/>
    <w:qFormat/>
    <w:rPr>
      <w:rFonts w:cs="Times New Roman"/>
    </w:rPr>
  </w:style>
  <w:style w:type="character" w:styleId="ListLabel3205" w:customStyle="1">
    <w:name w:val="ListLabel 3205"/>
    <w:qFormat/>
    <w:rPr>
      <w:rFonts w:cs="Wingdings"/>
    </w:rPr>
  </w:style>
  <w:style w:type="character" w:styleId="ListLabel3206" w:customStyle="1">
    <w:name w:val="ListLabel 3206"/>
    <w:qFormat/>
    <w:rPr>
      <w:rFonts w:cs="Symbol"/>
      <w:sz w:val="24"/>
    </w:rPr>
  </w:style>
  <w:style w:type="character" w:styleId="ListLabel3207" w:customStyle="1">
    <w:name w:val="ListLabel 3207"/>
    <w:qFormat/>
    <w:rPr>
      <w:rFonts w:cs="Calibri"/>
    </w:rPr>
  </w:style>
  <w:style w:type="character" w:styleId="ListLabel3208" w:customStyle="1">
    <w:name w:val="ListLabel 3208"/>
    <w:qFormat/>
    <w:rPr>
      <w:rFonts w:cs="Wingdings"/>
    </w:rPr>
  </w:style>
  <w:style w:type="character" w:styleId="ListLabel3209" w:customStyle="1">
    <w:name w:val="ListLabel 3209"/>
    <w:qFormat/>
    <w:rPr>
      <w:rFonts w:cs="Symbol"/>
    </w:rPr>
  </w:style>
  <w:style w:type="character" w:styleId="ListLabel3210" w:customStyle="1">
    <w:name w:val="ListLabel 3210"/>
    <w:qFormat/>
    <w:rPr>
      <w:rFonts w:cs="Courier New"/>
    </w:rPr>
  </w:style>
  <w:style w:type="character" w:styleId="ListLabel3211" w:customStyle="1">
    <w:name w:val="ListLabel 3211"/>
    <w:qFormat/>
    <w:rPr>
      <w:rFonts w:cs="Wingdings"/>
    </w:rPr>
  </w:style>
  <w:style w:type="character" w:styleId="ListLabel3212" w:customStyle="1">
    <w:name w:val="ListLabel 3212"/>
    <w:qFormat/>
    <w:rPr>
      <w:rFonts w:cs="Symbol"/>
    </w:rPr>
  </w:style>
  <w:style w:type="character" w:styleId="ListLabel3213" w:customStyle="1">
    <w:name w:val="ListLabel 3213"/>
    <w:qFormat/>
    <w:rPr>
      <w:rFonts w:cs="Wingdings"/>
    </w:rPr>
  </w:style>
  <w:style w:type="character" w:styleId="ListLabel3214" w:customStyle="1">
    <w:name w:val="ListLabel 3214"/>
    <w:qFormat/>
    <w:rPr>
      <w:rFonts w:cs="Wingdings"/>
    </w:rPr>
  </w:style>
  <w:style w:type="character" w:styleId="ListLabel3215" w:customStyle="1">
    <w:name w:val="ListLabel 3215"/>
    <w:qFormat/>
    <w:rPr>
      <w:rFonts w:cs="Symbol"/>
      <w:sz w:val="24"/>
    </w:rPr>
  </w:style>
  <w:style w:type="character" w:styleId="ListLabel3216" w:customStyle="1">
    <w:name w:val="ListLabel 3216"/>
    <w:qFormat/>
    <w:rPr>
      <w:rFonts w:cs="Symbol"/>
    </w:rPr>
  </w:style>
  <w:style w:type="character" w:styleId="ListLabel3217" w:customStyle="1">
    <w:name w:val="ListLabel 3217"/>
    <w:qFormat/>
    <w:rPr>
      <w:rFonts w:cs="Wingdings"/>
    </w:rPr>
  </w:style>
  <w:style w:type="character" w:styleId="ListLabel3218" w:customStyle="1">
    <w:name w:val="ListLabel 3218"/>
    <w:qFormat/>
    <w:rPr>
      <w:rFonts w:cs="Symbol"/>
    </w:rPr>
  </w:style>
  <w:style w:type="character" w:styleId="ListLabel3219" w:customStyle="1">
    <w:name w:val="ListLabel 3219"/>
    <w:qFormat/>
    <w:rPr>
      <w:rFonts w:cs="Courier New"/>
    </w:rPr>
  </w:style>
  <w:style w:type="character" w:styleId="ListLabel3220" w:customStyle="1">
    <w:name w:val="ListLabel 3220"/>
    <w:qFormat/>
    <w:rPr>
      <w:rFonts w:cs="Wingdings"/>
    </w:rPr>
  </w:style>
  <w:style w:type="character" w:styleId="ListLabel3221" w:customStyle="1">
    <w:name w:val="ListLabel 3221"/>
    <w:qFormat/>
    <w:rPr>
      <w:rFonts w:cs="Symbol"/>
    </w:rPr>
  </w:style>
  <w:style w:type="character" w:styleId="ListLabel3222" w:customStyle="1">
    <w:name w:val="ListLabel 3222"/>
    <w:qFormat/>
    <w:rPr>
      <w:rFonts w:cs="Wingdings"/>
    </w:rPr>
  </w:style>
  <w:style w:type="character" w:styleId="ListLabel3223" w:customStyle="1">
    <w:name w:val="ListLabel 3223"/>
    <w:qFormat/>
    <w:rPr>
      <w:rFonts w:cs="Wingdings"/>
    </w:rPr>
  </w:style>
  <w:style w:type="character" w:styleId="ListLabel3224" w:customStyle="1">
    <w:name w:val="ListLabel 3224"/>
    <w:qFormat/>
    <w:rPr>
      <w:rFonts w:cs="Symbol"/>
      <w:sz w:val="24"/>
    </w:rPr>
  </w:style>
  <w:style w:type="character" w:styleId="ListLabel3225" w:customStyle="1">
    <w:name w:val="ListLabel 3225"/>
    <w:qFormat/>
    <w:rPr>
      <w:rFonts w:cs="Courier New"/>
    </w:rPr>
  </w:style>
  <w:style w:type="character" w:styleId="ListLabel3226" w:customStyle="1">
    <w:name w:val="ListLabel 3226"/>
    <w:qFormat/>
    <w:rPr>
      <w:rFonts w:cs="Wingdings"/>
    </w:rPr>
  </w:style>
  <w:style w:type="character" w:styleId="ListLabel3227" w:customStyle="1">
    <w:name w:val="ListLabel 3227"/>
    <w:qFormat/>
    <w:rPr>
      <w:rFonts w:cs="Symbol"/>
    </w:rPr>
  </w:style>
  <w:style w:type="character" w:styleId="ListLabel3228" w:customStyle="1">
    <w:name w:val="ListLabel 3228"/>
    <w:qFormat/>
    <w:rPr>
      <w:rFonts w:cs="Wingdings"/>
    </w:rPr>
  </w:style>
  <w:style w:type="character" w:styleId="ListLabel3229" w:customStyle="1">
    <w:name w:val="ListLabel 3229"/>
    <w:qFormat/>
    <w:rPr>
      <w:rFonts w:cs="Wingdings"/>
    </w:rPr>
  </w:style>
  <w:style w:type="character" w:styleId="ListLabel3230" w:customStyle="1">
    <w:name w:val="ListLabel 3230"/>
    <w:qFormat/>
    <w:rPr>
      <w:rFonts w:cs="Symbol"/>
    </w:rPr>
  </w:style>
  <w:style w:type="character" w:styleId="ListLabel3231" w:customStyle="1">
    <w:name w:val="ListLabel 3231"/>
    <w:qFormat/>
    <w:rPr>
      <w:rFonts w:cs="Symbol"/>
      <w:b/>
    </w:rPr>
  </w:style>
  <w:style w:type="character" w:styleId="ListLabel3232" w:customStyle="1">
    <w:name w:val="ListLabel 3232"/>
    <w:qFormat/>
    <w:rPr>
      <w:rFonts w:cs="Wingdings"/>
    </w:rPr>
  </w:style>
  <w:style w:type="character" w:styleId="ListLabel3233" w:customStyle="1">
    <w:name w:val="ListLabel 3233"/>
    <w:qFormat/>
    <w:rPr>
      <w:rFonts w:cs="Symbol"/>
      <w:sz w:val="24"/>
    </w:rPr>
  </w:style>
  <w:style w:type="character" w:styleId="ListLabel3234" w:customStyle="1">
    <w:name w:val="ListLabel 3234"/>
    <w:qFormat/>
    <w:rPr>
      <w:rFonts w:cs="Symbol"/>
    </w:rPr>
  </w:style>
  <w:style w:type="character" w:styleId="ListLabel3235" w:customStyle="1">
    <w:name w:val="ListLabel 3235"/>
    <w:qFormat/>
    <w:rPr>
      <w:rFonts w:cs="Wingdings"/>
    </w:rPr>
  </w:style>
  <w:style w:type="character" w:styleId="ListLabel3236" w:customStyle="1">
    <w:name w:val="ListLabel 3236"/>
    <w:qFormat/>
    <w:rPr>
      <w:rFonts w:cs="Symbol"/>
    </w:rPr>
  </w:style>
  <w:style w:type="character" w:styleId="ListLabel3237" w:customStyle="1">
    <w:name w:val="ListLabel 3237"/>
    <w:qFormat/>
    <w:rPr>
      <w:rFonts w:cs="Courier New"/>
    </w:rPr>
  </w:style>
  <w:style w:type="character" w:styleId="ListLabel3238" w:customStyle="1">
    <w:name w:val="ListLabel 3238"/>
    <w:qFormat/>
    <w:rPr>
      <w:rFonts w:cs="Wingdings"/>
    </w:rPr>
  </w:style>
  <w:style w:type="character" w:styleId="ListLabel3239" w:customStyle="1">
    <w:name w:val="ListLabel 3239"/>
    <w:qFormat/>
    <w:rPr>
      <w:rFonts w:cs="Symbol"/>
    </w:rPr>
  </w:style>
  <w:style w:type="character" w:styleId="ListLabel3240" w:customStyle="1">
    <w:name w:val="ListLabel 3240"/>
    <w:qFormat/>
    <w:rPr>
      <w:rFonts w:cs="Wingdings"/>
    </w:rPr>
  </w:style>
  <w:style w:type="character" w:styleId="ListLabel3241" w:customStyle="1">
    <w:name w:val="ListLabel 3241"/>
    <w:qFormat/>
    <w:rPr>
      <w:rFonts w:cs="Wingdings"/>
    </w:rPr>
  </w:style>
  <w:style w:type="character" w:styleId="ListLabel3242" w:customStyle="1">
    <w:name w:val="ListLabel 3242"/>
    <w:qFormat/>
    <w:rPr>
      <w:rFonts w:cs="Symbol"/>
      <w:sz w:val="24"/>
    </w:rPr>
  </w:style>
  <w:style w:type="character" w:styleId="ListLabel3243" w:customStyle="1">
    <w:name w:val="ListLabel 3243"/>
    <w:qFormat/>
    <w:rPr>
      <w:rFonts w:cs="Times New Roman"/>
    </w:rPr>
  </w:style>
  <w:style w:type="character" w:styleId="ListLabel3244" w:customStyle="1">
    <w:name w:val="ListLabel 3244"/>
    <w:qFormat/>
    <w:rPr>
      <w:rFonts w:cs="Wingdings"/>
    </w:rPr>
  </w:style>
  <w:style w:type="character" w:styleId="ListLabel3245" w:customStyle="1">
    <w:name w:val="ListLabel 3245"/>
    <w:qFormat/>
    <w:rPr>
      <w:rFonts w:cs="Symbol"/>
    </w:rPr>
  </w:style>
  <w:style w:type="character" w:styleId="ListLabel3246" w:customStyle="1">
    <w:name w:val="ListLabel 3246"/>
    <w:qFormat/>
    <w:rPr>
      <w:rFonts w:cs="Times New Roman"/>
    </w:rPr>
  </w:style>
  <w:style w:type="character" w:styleId="ListLabel3247" w:customStyle="1">
    <w:name w:val="ListLabel 3247"/>
    <w:qFormat/>
    <w:rPr>
      <w:rFonts w:cs="Wingdings"/>
    </w:rPr>
  </w:style>
  <w:style w:type="character" w:styleId="ListLabel3248" w:customStyle="1">
    <w:name w:val="ListLabel 3248"/>
    <w:qFormat/>
    <w:rPr>
      <w:rFonts w:cs="Symbol"/>
    </w:rPr>
  </w:style>
  <w:style w:type="character" w:styleId="ListLabel3249" w:customStyle="1">
    <w:name w:val="ListLabel 3249"/>
    <w:qFormat/>
    <w:rPr>
      <w:rFonts w:cs="Times New Roman"/>
    </w:rPr>
  </w:style>
  <w:style w:type="character" w:styleId="ListLabel3250" w:customStyle="1">
    <w:name w:val="ListLabel 3250"/>
    <w:qFormat/>
    <w:rPr>
      <w:rFonts w:cs="Wingdings"/>
    </w:rPr>
  </w:style>
  <w:style w:type="character" w:styleId="ListLabel3251" w:customStyle="1">
    <w:name w:val="ListLabel 3251"/>
    <w:qFormat/>
    <w:rPr>
      <w:rFonts w:cs="Wingdings"/>
      <w:sz w:val="24"/>
    </w:rPr>
  </w:style>
  <w:style w:type="character" w:styleId="ListLabel3252" w:customStyle="1">
    <w:name w:val="ListLabel 3252"/>
    <w:qFormat/>
    <w:rPr>
      <w:rFonts w:cs="Times New Roman"/>
    </w:rPr>
  </w:style>
  <w:style w:type="character" w:styleId="ListLabel3253" w:customStyle="1">
    <w:name w:val="ListLabel 3253"/>
    <w:qFormat/>
    <w:rPr>
      <w:rFonts w:cs="Wingdings"/>
    </w:rPr>
  </w:style>
  <w:style w:type="character" w:styleId="ListLabel3254" w:customStyle="1">
    <w:name w:val="ListLabel 3254"/>
    <w:qFormat/>
    <w:rPr>
      <w:rFonts w:cs="Symbol"/>
    </w:rPr>
  </w:style>
  <w:style w:type="character" w:styleId="ListLabel3255" w:customStyle="1">
    <w:name w:val="ListLabel 3255"/>
    <w:qFormat/>
    <w:rPr>
      <w:rFonts w:cs="Times New Roman"/>
    </w:rPr>
  </w:style>
  <w:style w:type="character" w:styleId="ListLabel3256" w:customStyle="1">
    <w:name w:val="ListLabel 3256"/>
    <w:qFormat/>
    <w:rPr>
      <w:rFonts w:cs="Wingdings"/>
    </w:rPr>
  </w:style>
  <w:style w:type="character" w:styleId="ListLabel3257" w:customStyle="1">
    <w:name w:val="ListLabel 3257"/>
    <w:qFormat/>
    <w:rPr>
      <w:rFonts w:cs="Symbol"/>
    </w:rPr>
  </w:style>
  <w:style w:type="character" w:styleId="ListLabel3258" w:customStyle="1">
    <w:name w:val="ListLabel 3258"/>
    <w:qFormat/>
    <w:rPr>
      <w:rFonts w:cs="Times New Roman"/>
    </w:rPr>
  </w:style>
  <w:style w:type="character" w:styleId="ListLabel3259" w:customStyle="1">
    <w:name w:val="ListLabel 3259"/>
    <w:qFormat/>
    <w:rPr>
      <w:rFonts w:cs="Wingdings"/>
    </w:rPr>
  </w:style>
  <w:style w:type="character" w:styleId="ListLabel3260" w:customStyle="1">
    <w:name w:val="ListLabel 3260"/>
    <w:qFormat/>
    <w:rPr>
      <w:rFonts w:eastAsia="Arial Unicode MS" w:cs="Calibri"/>
      <w:sz w:val="24"/>
      <w:lang w:val="en-US"/>
    </w:rPr>
  </w:style>
  <w:style w:type="character" w:styleId="ListLabel3261" w:customStyle="1">
    <w:name w:val="ListLabel 3261"/>
    <w:qFormat/>
    <w:rPr>
      <w:sz w:val="24"/>
    </w:rPr>
  </w:style>
  <w:style w:type="character" w:styleId="ListLabel3262" w:customStyle="1">
    <w:name w:val="ListLabel 3262"/>
    <w:qFormat/>
    <w:rPr>
      <w:rFonts w:eastAsia="Arial Unicode MS" w:cs="Calibri"/>
      <w:sz w:val="24"/>
    </w:rPr>
  </w:style>
  <w:style w:type="character" w:styleId="ListLabel3263" w:customStyle="1">
    <w:name w:val="ListLabel 3263"/>
    <w:qFormat/>
    <w:rPr>
      <w:rFonts w:eastAsia="Arial Unicode MS" w:cs="Calibri"/>
      <w:sz w:val="24"/>
      <w:lang w:val="el-GR"/>
    </w:rPr>
  </w:style>
  <w:style w:type="character" w:styleId="ListLabel3264" w:customStyle="1">
    <w:name w:val="ListLabel 3264"/>
    <w:qFormat/>
    <w:rPr>
      <w:sz w:val="24"/>
      <w:lang w:val="el-GR"/>
    </w:rPr>
  </w:style>
  <w:style w:type="character" w:styleId="ListLabel3265" w:customStyle="1">
    <w:name w:val="ListLabel 3265"/>
    <w:qFormat/>
    <w:rPr>
      <w:rFonts w:eastAsia="Arial Unicode MS"/>
      <w:bCs/>
      <w:sz w:val="24"/>
      <w:lang w:val="en-US"/>
    </w:rPr>
  </w:style>
  <w:style w:type="character" w:styleId="ListLabel3266" w:customStyle="1">
    <w:name w:val="ListLabel 3266"/>
    <w:qFormat/>
    <w:rPr>
      <w:rFonts w:eastAsia="Arial Unicode MS"/>
      <w:bCs/>
      <w:sz w:val="24"/>
      <w:lang w:val="el-GR"/>
    </w:rPr>
  </w:style>
  <w:style w:type="character" w:styleId="ListLabel3267" w:customStyle="1">
    <w:name w:val="ListLabel 3267"/>
    <w:qFormat/>
    <w:rPr>
      <w:rFonts w:cs="Tahoma"/>
      <w:i/>
      <w:iCs/>
      <w:color w:val="auto"/>
      <w:sz w:val="24"/>
    </w:rPr>
  </w:style>
  <w:style w:type="character" w:styleId="ListLabel3268" w:customStyle="1">
    <w:name w:val="ListLabel 3268"/>
    <w:qFormat/>
    <w:rPr>
      <w:rFonts w:cs="Tahoma"/>
      <w:color w:val="auto"/>
      <w:sz w:val="24"/>
      <w:lang w:val="el-GR"/>
    </w:rPr>
  </w:style>
  <w:style w:type="character" w:styleId="ListLabel3269" w:customStyle="1">
    <w:name w:val="ListLabel 3269"/>
    <w:qFormat/>
    <w:rPr>
      <w:rFonts w:ascii="Calibri" w:hAnsi="Calibri" w:cs="Calibri"/>
      <w:sz w:val="24"/>
      <w:szCs w:val="24"/>
    </w:rPr>
  </w:style>
  <w:style w:type="character" w:styleId="ListLabel3270" w:customStyle="1">
    <w:name w:val="ListLabel 3270"/>
    <w:qFormat/>
    <w:rPr>
      <w:rFonts w:eastAsia="Arial Unicode MS" w:cs="Calibri"/>
      <w:sz w:val="24"/>
      <w:szCs w:val="24"/>
    </w:rPr>
  </w:style>
  <w:style w:type="character" w:styleId="ListLabel3271" w:customStyle="1">
    <w:name w:val="ListLabel 3271"/>
    <w:qFormat/>
    <w:rPr>
      <w:rFonts w:eastAsia="Arial Unicode MS" w:cs="Times New Roman"/>
      <w:sz w:val="24"/>
      <w:lang w:val="el-GR" w:eastAsia="el-GR"/>
    </w:rPr>
  </w:style>
  <w:style w:type="character" w:styleId="ListLabel3272" w:customStyle="1">
    <w:name w:val="ListLabel 3272"/>
    <w:qFormat/>
    <w:rPr>
      <w:rFonts w:cs="Tahoma"/>
      <w:sz w:val="24"/>
      <w:lang w:eastAsia="el-GR"/>
    </w:rPr>
  </w:style>
  <w:style w:type="character" w:styleId="ListLabel3273" w:customStyle="1">
    <w:name w:val="ListLabel 3273"/>
    <w:qFormat/>
    <w:rPr>
      <w:rFonts w:cs="Tahoma"/>
      <w:sz w:val="24"/>
      <w:lang w:val="el-GR" w:eastAsia="el-GR"/>
    </w:rPr>
  </w:style>
  <w:style w:type="character" w:styleId="ListLabel3274" w:customStyle="1">
    <w:name w:val="ListLabel 3274"/>
    <w:qFormat/>
    <w:rPr>
      <w:rFonts w:cs="Times New Roman"/>
      <w:sz w:val="22"/>
    </w:rPr>
  </w:style>
  <w:style w:type="character" w:styleId="ListLabel3275" w:customStyle="1">
    <w:name w:val="ListLabel 3275"/>
    <w:qFormat/>
    <w:rPr>
      <w:rFonts w:cs="Symbol"/>
      <w:strike/>
      <w:color w:val="0070C0"/>
      <w:kern w:val="2"/>
      <w:position w:val="0"/>
      <w:sz w:val="24"/>
      <w:sz w:val="24"/>
      <w:vertAlign w:val="baseline"/>
    </w:rPr>
  </w:style>
  <w:style w:type="character" w:styleId="ListLabel3276" w:customStyle="1">
    <w:name w:val="ListLabel 3276"/>
    <w:qFormat/>
    <w:rPr>
      <w:rFonts w:cs="Calibri"/>
      <w:sz w:val="24"/>
    </w:rPr>
  </w:style>
  <w:style w:type="character" w:styleId="ListLabel3277" w:customStyle="1">
    <w:name w:val="ListLabel 3277"/>
    <w:qFormat/>
    <w:rPr>
      <w:rFonts w:cs="Courier New"/>
    </w:rPr>
  </w:style>
  <w:style w:type="character" w:styleId="ListLabel3278" w:customStyle="1">
    <w:name w:val="ListLabel 3278"/>
    <w:qFormat/>
    <w:rPr>
      <w:rFonts w:cs="Wingdings"/>
    </w:rPr>
  </w:style>
  <w:style w:type="character" w:styleId="ListLabel3279" w:customStyle="1">
    <w:name w:val="ListLabel 3279"/>
    <w:qFormat/>
    <w:rPr>
      <w:rFonts w:cs="Symbol"/>
    </w:rPr>
  </w:style>
  <w:style w:type="character" w:styleId="ListLabel3280" w:customStyle="1">
    <w:name w:val="ListLabel 3280"/>
    <w:qFormat/>
    <w:rPr>
      <w:rFonts w:cs="Courier New"/>
    </w:rPr>
  </w:style>
  <w:style w:type="character" w:styleId="ListLabel3281" w:customStyle="1">
    <w:name w:val="ListLabel 3281"/>
    <w:qFormat/>
    <w:rPr>
      <w:rFonts w:cs="Wingdings"/>
    </w:rPr>
  </w:style>
  <w:style w:type="character" w:styleId="ListLabel3282" w:customStyle="1">
    <w:name w:val="ListLabel 3282"/>
    <w:qFormat/>
    <w:rPr>
      <w:rFonts w:cs="Symbol"/>
    </w:rPr>
  </w:style>
  <w:style w:type="character" w:styleId="ListLabel3283" w:customStyle="1">
    <w:name w:val="ListLabel 3283"/>
    <w:qFormat/>
    <w:rPr>
      <w:rFonts w:cs="Courier New"/>
    </w:rPr>
  </w:style>
  <w:style w:type="character" w:styleId="ListLabel3284" w:customStyle="1">
    <w:name w:val="ListLabel 3284"/>
    <w:qFormat/>
    <w:rPr>
      <w:rFonts w:cs="Wingdings"/>
    </w:rPr>
  </w:style>
  <w:style w:type="character" w:styleId="ListLabel3285" w:customStyle="1">
    <w:name w:val="ListLabel 3285"/>
    <w:qFormat/>
    <w:rPr>
      <w:rFonts w:cs="Wingdings"/>
      <w:color w:val="auto"/>
      <w:sz w:val="24"/>
    </w:rPr>
  </w:style>
  <w:style w:type="character" w:styleId="ListLabel3286" w:customStyle="1">
    <w:name w:val="ListLabel 3286"/>
    <w:qFormat/>
    <w:rPr>
      <w:rFonts w:cs="Courier New"/>
    </w:rPr>
  </w:style>
  <w:style w:type="character" w:styleId="ListLabel3287" w:customStyle="1">
    <w:name w:val="ListLabel 3287"/>
    <w:qFormat/>
    <w:rPr>
      <w:rFonts w:cs="Wingdings"/>
    </w:rPr>
  </w:style>
  <w:style w:type="character" w:styleId="ListLabel3288" w:customStyle="1">
    <w:name w:val="ListLabel 3288"/>
    <w:qFormat/>
    <w:rPr>
      <w:rFonts w:cs="Symbol"/>
    </w:rPr>
  </w:style>
  <w:style w:type="character" w:styleId="ListLabel3289" w:customStyle="1">
    <w:name w:val="ListLabel 3289"/>
    <w:qFormat/>
    <w:rPr>
      <w:rFonts w:cs="Courier New"/>
    </w:rPr>
  </w:style>
  <w:style w:type="character" w:styleId="ListLabel3290" w:customStyle="1">
    <w:name w:val="ListLabel 3290"/>
    <w:qFormat/>
    <w:rPr>
      <w:rFonts w:cs="Wingdings"/>
    </w:rPr>
  </w:style>
  <w:style w:type="character" w:styleId="ListLabel3291" w:customStyle="1">
    <w:name w:val="ListLabel 3291"/>
    <w:qFormat/>
    <w:rPr>
      <w:rFonts w:cs="Symbol"/>
    </w:rPr>
  </w:style>
  <w:style w:type="character" w:styleId="ListLabel3292" w:customStyle="1">
    <w:name w:val="ListLabel 3292"/>
    <w:qFormat/>
    <w:rPr>
      <w:rFonts w:cs="Courier New"/>
    </w:rPr>
  </w:style>
  <w:style w:type="character" w:styleId="ListLabel3293" w:customStyle="1">
    <w:name w:val="ListLabel 3293"/>
    <w:qFormat/>
    <w:rPr>
      <w:rFonts w:cs="Wingdings"/>
    </w:rPr>
  </w:style>
  <w:style w:type="character" w:styleId="ListLabel3294" w:customStyle="1">
    <w:name w:val="ListLabel 3294"/>
    <w:qFormat/>
    <w:rPr>
      <w:rFonts w:cs="Times New Roman"/>
    </w:rPr>
  </w:style>
  <w:style w:type="character" w:styleId="ListLabel3295" w:customStyle="1">
    <w:name w:val="ListLabel 3295"/>
    <w:qFormat/>
    <w:rPr>
      <w:rFonts w:cs="Times New Roman"/>
    </w:rPr>
  </w:style>
  <w:style w:type="character" w:styleId="ListLabel3296" w:customStyle="1">
    <w:name w:val="ListLabel 3296"/>
    <w:qFormat/>
    <w:rPr>
      <w:rFonts w:cs="Times New Roman"/>
    </w:rPr>
  </w:style>
  <w:style w:type="character" w:styleId="ListLabel3297" w:customStyle="1">
    <w:name w:val="ListLabel 3297"/>
    <w:qFormat/>
    <w:rPr>
      <w:rFonts w:cs="Times New Roman"/>
    </w:rPr>
  </w:style>
  <w:style w:type="character" w:styleId="ListLabel3298" w:customStyle="1">
    <w:name w:val="ListLabel 3298"/>
    <w:qFormat/>
    <w:rPr>
      <w:rFonts w:cs="Times New Roman"/>
    </w:rPr>
  </w:style>
  <w:style w:type="character" w:styleId="ListLabel3299" w:customStyle="1">
    <w:name w:val="ListLabel 3299"/>
    <w:qFormat/>
    <w:rPr>
      <w:rFonts w:cs="Times New Roman"/>
    </w:rPr>
  </w:style>
  <w:style w:type="character" w:styleId="ListLabel3300" w:customStyle="1">
    <w:name w:val="ListLabel 3300"/>
    <w:qFormat/>
    <w:rPr>
      <w:rFonts w:cs="Times New Roman"/>
    </w:rPr>
  </w:style>
  <w:style w:type="character" w:styleId="ListLabel3301" w:customStyle="1">
    <w:name w:val="ListLabel 3301"/>
    <w:qFormat/>
    <w:rPr>
      <w:rFonts w:cs="Times New Roman"/>
    </w:rPr>
  </w:style>
  <w:style w:type="character" w:styleId="ListLabel3302" w:customStyle="1">
    <w:name w:val="ListLabel 3302"/>
    <w:qFormat/>
    <w:rPr>
      <w:rFonts w:cs="Times New Roman"/>
    </w:rPr>
  </w:style>
  <w:style w:type="character" w:styleId="ListLabel3303" w:customStyle="1">
    <w:name w:val="ListLabel 3303"/>
    <w:qFormat/>
    <w:rPr>
      <w:rFonts w:cs="Symbol"/>
      <w:b/>
      <w:sz w:val="24"/>
    </w:rPr>
  </w:style>
  <w:style w:type="character" w:styleId="ListLabel3304" w:customStyle="1">
    <w:name w:val="ListLabel 3304"/>
    <w:qFormat/>
    <w:rPr>
      <w:rFonts w:cs="Courier New"/>
    </w:rPr>
  </w:style>
  <w:style w:type="character" w:styleId="ListLabel3305" w:customStyle="1">
    <w:name w:val="ListLabel 3305"/>
    <w:qFormat/>
    <w:rPr>
      <w:rFonts w:cs="Wingdings"/>
    </w:rPr>
  </w:style>
  <w:style w:type="character" w:styleId="ListLabel3306" w:customStyle="1">
    <w:name w:val="ListLabel 3306"/>
    <w:qFormat/>
    <w:rPr>
      <w:rFonts w:cs="Symbol"/>
    </w:rPr>
  </w:style>
  <w:style w:type="character" w:styleId="ListLabel3307" w:customStyle="1">
    <w:name w:val="ListLabel 3307"/>
    <w:qFormat/>
    <w:rPr>
      <w:rFonts w:cs="Courier New"/>
    </w:rPr>
  </w:style>
  <w:style w:type="character" w:styleId="ListLabel3308" w:customStyle="1">
    <w:name w:val="ListLabel 3308"/>
    <w:qFormat/>
    <w:rPr>
      <w:rFonts w:cs="Wingdings"/>
    </w:rPr>
  </w:style>
  <w:style w:type="character" w:styleId="ListLabel3309" w:customStyle="1">
    <w:name w:val="ListLabel 3309"/>
    <w:qFormat/>
    <w:rPr>
      <w:rFonts w:cs="Symbol"/>
    </w:rPr>
  </w:style>
  <w:style w:type="character" w:styleId="ListLabel3310" w:customStyle="1">
    <w:name w:val="ListLabel 3310"/>
    <w:qFormat/>
    <w:rPr>
      <w:rFonts w:cs="Courier New"/>
    </w:rPr>
  </w:style>
  <w:style w:type="character" w:styleId="ListLabel3311" w:customStyle="1">
    <w:name w:val="ListLabel 3311"/>
    <w:qFormat/>
    <w:rPr>
      <w:rFonts w:cs="Wingdings"/>
    </w:rPr>
  </w:style>
  <w:style w:type="character" w:styleId="ListLabel3312" w:customStyle="1">
    <w:name w:val="ListLabel 3312"/>
    <w:qFormat/>
    <w:rPr>
      <w:rFonts w:cs="Symbol"/>
      <w:strike/>
      <w:color w:val="0070C0"/>
      <w:kern w:val="2"/>
      <w:position w:val="0"/>
      <w:sz w:val="24"/>
      <w:sz w:val="24"/>
      <w:vertAlign w:val="baseline"/>
      <w:lang w:val="el-GR"/>
    </w:rPr>
  </w:style>
  <w:style w:type="character" w:styleId="ListLabel3313" w:customStyle="1">
    <w:name w:val="ListLabel 3313"/>
    <w:qFormat/>
    <w:rPr>
      <w:rFonts w:cs="Courier New"/>
    </w:rPr>
  </w:style>
  <w:style w:type="character" w:styleId="ListLabel3314" w:customStyle="1">
    <w:name w:val="ListLabel 3314"/>
    <w:qFormat/>
    <w:rPr>
      <w:rFonts w:cs="Wingdings"/>
      <w:sz w:val="20"/>
    </w:rPr>
  </w:style>
  <w:style w:type="character" w:styleId="ListLabel3315" w:customStyle="1">
    <w:name w:val="ListLabel 3315"/>
    <w:qFormat/>
    <w:rPr>
      <w:rFonts w:cs="Wingdings"/>
      <w:sz w:val="20"/>
    </w:rPr>
  </w:style>
  <w:style w:type="character" w:styleId="ListLabel3316" w:customStyle="1">
    <w:name w:val="ListLabel 3316"/>
    <w:qFormat/>
    <w:rPr>
      <w:rFonts w:cs="Wingdings"/>
      <w:sz w:val="20"/>
    </w:rPr>
  </w:style>
  <w:style w:type="character" w:styleId="ListLabel3317" w:customStyle="1">
    <w:name w:val="ListLabel 3317"/>
    <w:qFormat/>
    <w:rPr>
      <w:rFonts w:cs="Wingdings"/>
      <w:sz w:val="20"/>
    </w:rPr>
  </w:style>
  <w:style w:type="character" w:styleId="ListLabel3318" w:customStyle="1">
    <w:name w:val="ListLabel 3318"/>
    <w:qFormat/>
    <w:rPr>
      <w:rFonts w:cs="Wingdings"/>
      <w:sz w:val="20"/>
    </w:rPr>
  </w:style>
  <w:style w:type="character" w:styleId="ListLabel3319" w:customStyle="1">
    <w:name w:val="ListLabel 3319"/>
    <w:qFormat/>
    <w:rPr>
      <w:rFonts w:cs="Wingdings"/>
      <w:sz w:val="20"/>
    </w:rPr>
  </w:style>
  <w:style w:type="character" w:styleId="ListLabel3320" w:customStyle="1">
    <w:name w:val="ListLabel 3320"/>
    <w:qFormat/>
    <w:rPr>
      <w:rFonts w:cs="Wingdings"/>
      <w:sz w:val="20"/>
    </w:rPr>
  </w:style>
  <w:style w:type="character" w:styleId="ListLabel3321" w:customStyle="1">
    <w:name w:val="ListLabel 3321"/>
    <w:qFormat/>
    <w:rPr>
      <w:b/>
      <w:bCs/>
      <w:sz w:val="24"/>
    </w:rPr>
  </w:style>
  <w:style w:type="character" w:styleId="ListLabel3322" w:customStyle="1">
    <w:name w:val="ListLabel 3322"/>
    <w:qFormat/>
    <w:rPr>
      <w:rFonts w:cs="Wingdings"/>
      <w:b/>
      <w:sz w:val="24"/>
    </w:rPr>
  </w:style>
  <w:style w:type="character" w:styleId="ListLabel3323" w:customStyle="1">
    <w:name w:val="ListLabel 3323"/>
    <w:qFormat/>
    <w:rPr>
      <w:rFonts w:cs="Courier New"/>
    </w:rPr>
  </w:style>
  <w:style w:type="character" w:styleId="ListLabel3324" w:customStyle="1">
    <w:name w:val="ListLabel 3324"/>
    <w:qFormat/>
    <w:rPr>
      <w:rFonts w:cs="Wingdings"/>
    </w:rPr>
  </w:style>
  <w:style w:type="character" w:styleId="ListLabel3325" w:customStyle="1">
    <w:name w:val="ListLabel 3325"/>
    <w:qFormat/>
    <w:rPr>
      <w:rFonts w:cs="Symbol"/>
    </w:rPr>
  </w:style>
  <w:style w:type="character" w:styleId="ListLabel3326" w:customStyle="1">
    <w:name w:val="ListLabel 3326"/>
    <w:qFormat/>
    <w:rPr>
      <w:rFonts w:cs="Courier New"/>
    </w:rPr>
  </w:style>
  <w:style w:type="character" w:styleId="ListLabel3327" w:customStyle="1">
    <w:name w:val="ListLabel 3327"/>
    <w:qFormat/>
    <w:rPr>
      <w:rFonts w:cs="Wingdings"/>
    </w:rPr>
  </w:style>
  <w:style w:type="character" w:styleId="ListLabel3328" w:customStyle="1">
    <w:name w:val="ListLabel 3328"/>
    <w:qFormat/>
    <w:rPr>
      <w:rFonts w:cs="Symbol"/>
    </w:rPr>
  </w:style>
  <w:style w:type="character" w:styleId="ListLabel3329" w:customStyle="1">
    <w:name w:val="ListLabel 3329"/>
    <w:qFormat/>
    <w:rPr>
      <w:rFonts w:cs="Courier New"/>
    </w:rPr>
  </w:style>
  <w:style w:type="character" w:styleId="ListLabel3330" w:customStyle="1">
    <w:name w:val="ListLabel 3330"/>
    <w:qFormat/>
    <w:rPr>
      <w:rFonts w:cs="Wingdings"/>
    </w:rPr>
  </w:style>
  <w:style w:type="character" w:styleId="ListLabel3331" w:customStyle="1">
    <w:name w:val="ListLabel 3331"/>
    <w:qFormat/>
    <w:rPr>
      <w:rFonts w:cs="OpenSymbol"/>
      <w:sz w:val="24"/>
    </w:rPr>
  </w:style>
  <w:style w:type="character" w:styleId="ListLabel3332" w:customStyle="1">
    <w:name w:val="ListLabel 3332"/>
    <w:qFormat/>
    <w:rPr>
      <w:rFonts w:cs="OpenSymbol"/>
    </w:rPr>
  </w:style>
  <w:style w:type="character" w:styleId="ListLabel3333" w:customStyle="1">
    <w:name w:val="ListLabel 3333"/>
    <w:qFormat/>
    <w:rPr>
      <w:rFonts w:cs="OpenSymbol"/>
    </w:rPr>
  </w:style>
  <w:style w:type="character" w:styleId="ListLabel3334" w:customStyle="1">
    <w:name w:val="ListLabel 3334"/>
    <w:qFormat/>
    <w:rPr>
      <w:rFonts w:cs="OpenSymbol"/>
    </w:rPr>
  </w:style>
  <w:style w:type="character" w:styleId="ListLabel3335" w:customStyle="1">
    <w:name w:val="ListLabel 3335"/>
    <w:qFormat/>
    <w:rPr>
      <w:rFonts w:cs="OpenSymbol"/>
    </w:rPr>
  </w:style>
  <w:style w:type="character" w:styleId="ListLabel3336" w:customStyle="1">
    <w:name w:val="ListLabel 3336"/>
    <w:qFormat/>
    <w:rPr>
      <w:rFonts w:cs="OpenSymbol"/>
    </w:rPr>
  </w:style>
  <w:style w:type="character" w:styleId="ListLabel3337" w:customStyle="1">
    <w:name w:val="ListLabel 3337"/>
    <w:qFormat/>
    <w:rPr>
      <w:rFonts w:cs="OpenSymbol"/>
    </w:rPr>
  </w:style>
  <w:style w:type="character" w:styleId="ListLabel3338" w:customStyle="1">
    <w:name w:val="ListLabel 3338"/>
    <w:qFormat/>
    <w:rPr>
      <w:rFonts w:cs="OpenSymbol"/>
    </w:rPr>
  </w:style>
  <w:style w:type="character" w:styleId="ListLabel3339" w:customStyle="1">
    <w:name w:val="ListLabel 3339"/>
    <w:qFormat/>
    <w:rPr>
      <w:rFonts w:cs="OpenSymbol"/>
    </w:rPr>
  </w:style>
  <w:style w:type="character" w:styleId="ListLabel3340" w:customStyle="1">
    <w:name w:val="ListLabel 3340"/>
    <w:qFormat/>
    <w:rPr>
      <w:rFonts w:cs="Times New Roman"/>
      <w:sz w:val="24"/>
    </w:rPr>
  </w:style>
  <w:style w:type="character" w:styleId="ListLabel3341" w:customStyle="1">
    <w:name w:val="ListLabel 3341"/>
    <w:qFormat/>
    <w:rPr>
      <w:rFonts w:cs="Times New Roman"/>
    </w:rPr>
  </w:style>
  <w:style w:type="character" w:styleId="ListLabel3342" w:customStyle="1">
    <w:name w:val="ListLabel 3342"/>
    <w:qFormat/>
    <w:rPr>
      <w:rFonts w:cs="Times New Roman"/>
    </w:rPr>
  </w:style>
  <w:style w:type="character" w:styleId="ListLabel3343" w:customStyle="1">
    <w:name w:val="ListLabel 3343"/>
    <w:qFormat/>
    <w:rPr>
      <w:rFonts w:cs="Times New Roman"/>
    </w:rPr>
  </w:style>
  <w:style w:type="character" w:styleId="ListLabel3344" w:customStyle="1">
    <w:name w:val="ListLabel 3344"/>
    <w:qFormat/>
    <w:rPr>
      <w:rFonts w:cs="Times New Roman"/>
    </w:rPr>
  </w:style>
  <w:style w:type="character" w:styleId="ListLabel3345" w:customStyle="1">
    <w:name w:val="ListLabel 3345"/>
    <w:qFormat/>
    <w:rPr>
      <w:rFonts w:cs="Times New Roman"/>
    </w:rPr>
  </w:style>
  <w:style w:type="character" w:styleId="ListLabel3346" w:customStyle="1">
    <w:name w:val="ListLabel 3346"/>
    <w:qFormat/>
    <w:rPr>
      <w:rFonts w:cs="Times New Roman"/>
    </w:rPr>
  </w:style>
  <w:style w:type="character" w:styleId="ListLabel3347" w:customStyle="1">
    <w:name w:val="ListLabel 3347"/>
    <w:qFormat/>
    <w:rPr>
      <w:rFonts w:cs="Times New Roman"/>
    </w:rPr>
  </w:style>
  <w:style w:type="character" w:styleId="ListLabel3348" w:customStyle="1">
    <w:name w:val="ListLabel 3348"/>
    <w:qFormat/>
    <w:rPr>
      <w:rFonts w:cs="Times New Roman"/>
    </w:rPr>
  </w:style>
  <w:style w:type="character" w:styleId="ListLabel3349" w:customStyle="1">
    <w:name w:val="ListLabel 3349"/>
    <w:qFormat/>
    <w:rPr>
      <w:rFonts w:cs="Symbol"/>
      <w:sz w:val="24"/>
    </w:rPr>
  </w:style>
  <w:style w:type="character" w:styleId="ListLabel3350" w:customStyle="1">
    <w:name w:val="ListLabel 3350"/>
    <w:qFormat/>
    <w:rPr>
      <w:rFonts w:cs="Wingdings"/>
      <w:color w:val="auto"/>
    </w:rPr>
  </w:style>
  <w:style w:type="character" w:styleId="ListLabel3351" w:customStyle="1">
    <w:name w:val="ListLabel 3351"/>
    <w:qFormat/>
    <w:rPr>
      <w:rFonts w:cs="Wingdings"/>
    </w:rPr>
  </w:style>
  <w:style w:type="character" w:styleId="ListLabel3352" w:customStyle="1">
    <w:name w:val="ListLabel 3352"/>
    <w:qFormat/>
    <w:rPr>
      <w:rFonts w:cs="Symbol"/>
    </w:rPr>
  </w:style>
  <w:style w:type="character" w:styleId="ListLabel3353" w:customStyle="1">
    <w:name w:val="ListLabel 3353"/>
    <w:qFormat/>
    <w:rPr>
      <w:rFonts w:cs="Courier New"/>
    </w:rPr>
  </w:style>
  <w:style w:type="character" w:styleId="ListLabel3354" w:customStyle="1">
    <w:name w:val="ListLabel 3354"/>
    <w:qFormat/>
    <w:rPr>
      <w:rFonts w:cs="Wingdings"/>
    </w:rPr>
  </w:style>
  <w:style w:type="character" w:styleId="ListLabel3355" w:customStyle="1">
    <w:name w:val="ListLabel 3355"/>
    <w:qFormat/>
    <w:rPr>
      <w:rFonts w:cs="Symbol"/>
    </w:rPr>
  </w:style>
  <w:style w:type="character" w:styleId="ListLabel3356" w:customStyle="1">
    <w:name w:val="ListLabel 3356"/>
    <w:qFormat/>
    <w:rPr>
      <w:rFonts w:cs="Wingdings"/>
    </w:rPr>
  </w:style>
  <w:style w:type="character" w:styleId="ListLabel3357" w:customStyle="1">
    <w:name w:val="ListLabel 3357"/>
    <w:qFormat/>
    <w:rPr>
      <w:rFonts w:cs="Wingdings"/>
    </w:rPr>
  </w:style>
  <w:style w:type="character" w:styleId="ListLabel3358" w:customStyle="1">
    <w:name w:val="ListLabel 3358"/>
    <w:qFormat/>
    <w:rPr>
      <w:rFonts w:cs="Symbol"/>
      <w:b/>
      <w:sz w:val="24"/>
    </w:rPr>
  </w:style>
  <w:style w:type="character" w:styleId="ListLabel3359" w:customStyle="1">
    <w:name w:val="ListLabel 3359"/>
    <w:qFormat/>
    <w:rPr>
      <w:rFonts w:cs="Symbol"/>
      <w:sz w:val="24"/>
    </w:rPr>
  </w:style>
  <w:style w:type="character" w:styleId="ListLabel3360" w:customStyle="1">
    <w:name w:val="ListLabel 3360"/>
    <w:qFormat/>
    <w:rPr>
      <w:rFonts w:cs="Symbol"/>
    </w:rPr>
  </w:style>
  <w:style w:type="character" w:styleId="ListLabel3361" w:customStyle="1">
    <w:name w:val="ListLabel 3361"/>
    <w:qFormat/>
    <w:rPr>
      <w:rFonts w:cs="Wingdings"/>
    </w:rPr>
  </w:style>
  <w:style w:type="character" w:styleId="ListLabel3362" w:customStyle="1">
    <w:name w:val="ListLabel 3362"/>
    <w:qFormat/>
    <w:rPr>
      <w:rFonts w:cs="Symbol"/>
    </w:rPr>
  </w:style>
  <w:style w:type="character" w:styleId="ListLabel3363" w:customStyle="1">
    <w:name w:val="ListLabel 3363"/>
    <w:qFormat/>
    <w:rPr>
      <w:rFonts w:cs="Courier New"/>
    </w:rPr>
  </w:style>
  <w:style w:type="character" w:styleId="ListLabel3364" w:customStyle="1">
    <w:name w:val="ListLabel 3364"/>
    <w:qFormat/>
    <w:rPr>
      <w:rFonts w:cs="Wingdings"/>
    </w:rPr>
  </w:style>
  <w:style w:type="character" w:styleId="ListLabel3365" w:customStyle="1">
    <w:name w:val="ListLabel 3365"/>
    <w:qFormat/>
    <w:rPr>
      <w:rFonts w:cs="Symbol"/>
    </w:rPr>
  </w:style>
  <w:style w:type="character" w:styleId="ListLabel3366" w:customStyle="1">
    <w:name w:val="ListLabel 3366"/>
    <w:qFormat/>
    <w:rPr>
      <w:rFonts w:cs="Wingdings"/>
    </w:rPr>
  </w:style>
  <w:style w:type="character" w:styleId="ListLabel3367" w:customStyle="1">
    <w:name w:val="ListLabel 3367"/>
    <w:qFormat/>
    <w:rPr>
      <w:rFonts w:cs="Wingdings"/>
    </w:rPr>
  </w:style>
  <w:style w:type="character" w:styleId="ListLabel3368" w:customStyle="1">
    <w:name w:val="ListLabel 3368"/>
    <w:qFormat/>
    <w:rPr>
      <w:rFonts w:cs="Symbol"/>
      <w:sz w:val="24"/>
    </w:rPr>
  </w:style>
  <w:style w:type="character" w:styleId="ListLabel3369" w:customStyle="1">
    <w:name w:val="ListLabel 3369"/>
    <w:qFormat/>
    <w:rPr>
      <w:rFonts w:cs="Symbol"/>
    </w:rPr>
  </w:style>
  <w:style w:type="character" w:styleId="ListLabel3370" w:customStyle="1">
    <w:name w:val="ListLabel 3370"/>
    <w:qFormat/>
    <w:rPr>
      <w:rFonts w:cs="Wingdings"/>
    </w:rPr>
  </w:style>
  <w:style w:type="character" w:styleId="ListLabel3371" w:customStyle="1">
    <w:name w:val="ListLabel 3371"/>
    <w:qFormat/>
    <w:rPr>
      <w:rFonts w:cs="Symbol"/>
    </w:rPr>
  </w:style>
  <w:style w:type="character" w:styleId="ListLabel3372" w:customStyle="1">
    <w:name w:val="ListLabel 3372"/>
    <w:qFormat/>
    <w:rPr>
      <w:rFonts w:cs="Courier New"/>
    </w:rPr>
  </w:style>
  <w:style w:type="character" w:styleId="ListLabel3373" w:customStyle="1">
    <w:name w:val="ListLabel 3373"/>
    <w:qFormat/>
    <w:rPr>
      <w:rFonts w:cs="Wingdings"/>
    </w:rPr>
  </w:style>
  <w:style w:type="character" w:styleId="ListLabel3374" w:customStyle="1">
    <w:name w:val="ListLabel 3374"/>
    <w:qFormat/>
    <w:rPr>
      <w:rFonts w:cs="Symbol"/>
    </w:rPr>
  </w:style>
  <w:style w:type="character" w:styleId="ListLabel3375" w:customStyle="1">
    <w:name w:val="ListLabel 3375"/>
    <w:qFormat/>
    <w:rPr>
      <w:rFonts w:cs="Wingdings"/>
    </w:rPr>
  </w:style>
  <w:style w:type="character" w:styleId="ListLabel3376" w:customStyle="1">
    <w:name w:val="ListLabel 3376"/>
    <w:qFormat/>
    <w:rPr>
      <w:rFonts w:cs="Wingdings"/>
    </w:rPr>
  </w:style>
  <w:style w:type="character" w:styleId="ListLabel3377" w:customStyle="1">
    <w:name w:val="ListLabel 3377"/>
    <w:qFormat/>
    <w:rPr>
      <w:rFonts w:cs="Symbol"/>
      <w:sz w:val="24"/>
    </w:rPr>
  </w:style>
  <w:style w:type="character" w:styleId="ListLabel3378" w:customStyle="1">
    <w:name w:val="ListLabel 3378"/>
    <w:qFormat/>
    <w:rPr>
      <w:rFonts w:cs="Times New Roman"/>
    </w:rPr>
  </w:style>
  <w:style w:type="character" w:styleId="ListLabel3379" w:customStyle="1">
    <w:name w:val="ListLabel 3379"/>
    <w:qFormat/>
    <w:rPr>
      <w:rFonts w:cs="Wingdings"/>
    </w:rPr>
  </w:style>
  <w:style w:type="character" w:styleId="ListLabel3380" w:customStyle="1">
    <w:name w:val="ListLabel 3380"/>
    <w:qFormat/>
    <w:rPr>
      <w:rFonts w:cs="Symbol"/>
    </w:rPr>
  </w:style>
  <w:style w:type="character" w:styleId="ListLabel3381" w:customStyle="1">
    <w:name w:val="ListLabel 3381"/>
    <w:qFormat/>
    <w:rPr>
      <w:rFonts w:cs="Times New Roman"/>
    </w:rPr>
  </w:style>
  <w:style w:type="character" w:styleId="ListLabel3382" w:customStyle="1">
    <w:name w:val="ListLabel 3382"/>
    <w:qFormat/>
    <w:rPr>
      <w:rFonts w:cs="Wingdings"/>
    </w:rPr>
  </w:style>
  <w:style w:type="character" w:styleId="ListLabel3383" w:customStyle="1">
    <w:name w:val="ListLabel 3383"/>
    <w:qFormat/>
    <w:rPr>
      <w:rFonts w:cs="Symbol"/>
    </w:rPr>
  </w:style>
  <w:style w:type="character" w:styleId="ListLabel3384" w:customStyle="1">
    <w:name w:val="ListLabel 3384"/>
    <w:qFormat/>
    <w:rPr>
      <w:rFonts w:cs="Times New Roman"/>
    </w:rPr>
  </w:style>
  <w:style w:type="character" w:styleId="ListLabel3385" w:customStyle="1">
    <w:name w:val="ListLabel 3385"/>
    <w:qFormat/>
    <w:rPr>
      <w:rFonts w:cs="Wingdings"/>
    </w:rPr>
  </w:style>
  <w:style w:type="character" w:styleId="ListLabel3386" w:customStyle="1">
    <w:name w:val="ListLabel 3386"/>
    <w:qFormat/>
    <w:rPr>
      <w:rFonts w:cs="Symbol"/>
      <w:sz w:val="24"/>
    </w:rPr>
  </w:style>
  <w:style w:type="character" w:styleId="ListLabel3387" w:customStyle="1">
    <w:name w:val="ListLabel 3387"/>
    <w:qFormat/>
    <w:rPr>
      <w:rFonts w:cs="Calibri"/>
    </w:rPr>
  </w:style>
  <w:style w:type="character" w:styleId="ListLabel3388" w:customStyle="1">
    <w:name w:val="ListLabel 3388"/>
    <w:qFormat/>
    <w:rPr>
      <w:rFonts w:cs="Wingdings"/>
    </w:rPr>
  </w:style>
  <w:style w:type="character" w:styleId="ListLabel3389" w:customStyle="1">
    <w:name w:val="ListLabel 3389"/>
    <w:qFormat/>
    <w:rPr>
      <w:rFonts w:cs="Symbol"/>
    </w:rPr>
  </w:style>
  <w:style w:type="character" w:styleId="ListLabel3390" w:customStyle="1">
    <w:name w:val="ListLabel 3390"/>
    <w:qFormat/>
    <w:rPr>
      <w:rFonts w:cs="Courier New"/>
    </w:rPr>
  </w:style>
  <w:style w:type="character" w:styleId="ListLabel3391" w:customStyle="1">
    <w:name w:val="ListLabel 3391"/>
    <w:qFormat/>
    <w:rPr>
      <w:rFonts w:cs="Wingdings"/>
    </w:rPr>
  </w:style>
  <w:style w:type="character" w:styleId="ListLabel3392" w:customStyle="1">
    <w:name w:val="ListLabel 3392"/>
    <w:qFormat/>
    <w:rPr>
      <w:rFonts w:cs="Symbol"/>
    </w:rPr>
  </w:style>
  <w:style w:type="character" w:styleId="ListLabel3393" w:customStyle="1">
    <w:name w:val="ListLabel 3393"/>
    <w:qFormat/>
    <w:rPr>
      <w:rFonts w:cs="Wingdings"/>
    </w:rPr>
  </w:style>
  <w:style w:type="character" w:styleId="ListLabel3394" w:customStyle="1">
    <w:name w:val="ListLabel 3394"/>
    <w:qFormat/>
    <w:rPr>
      <w:rFonts w:cs="Wingdings"/>
    </w:rPr>
  </w:style>
  <w:style w:type="character" w:styleId="ListLabel3395" w:customStyle="1">
    <w:name w:val="ListLabel 3395"/>
    <w:qFormat/>
    <w:rPr>
      <w:rFonts w:cs="Symbol"/>
      <w:sz w:val="24"/>
    </w:rPr>
  </w:style>
  <w:style w:type="character" w:styleId="ListLabel3396" w:customStyle="1">
    <w:name w:val="ListLabel 3396"/>
    <w:qFormat/>
    <w:rPr>
      <w:rFonts w:cs="Symbol"/>
    </w:rPr>
  </w:style>
  <w:style w:type="character" w:styleId="ListLabel3397" w:customStyle="1">
    <w:name w:val="ListLabel 3397"/>
    <w:qFormat/>
    <w:rPr>
      <w:rFonts w:cs="Wingdings"/>
    </w:rPr>
  </w:style>
  <w:style w:type="character" w:styleId="ListLabel3398" w:customStyle="1">
    <w:name w:val="ListLabel 3398"/>
    <w:qFormat/>
    <w:rPr>
      <w:rFonts w:cs="Symbol"/>
    </w:rPr>
  </w:style>
  <w:style w:type="character" w:styleId="ListLabel3399" w:customStyle="1">
    <w:name w:val="ListLabel 3399"/>
    <w:qFormat/>
    <w:rPr>
      <w:rFonts w:cs="Courier New"/>
    </w:rPr>
  </w:style>
  <w:style w:type="character" w:styleId="ListLabel3400" w:customStyle="1">
    <w:name w:val="ListLabel 3400"/>
    <w:qFormat/>
    <w:rPr>
      <w:rFonts w:cs="Wingdings"/>
    </w:rPr>
  </w:style>
  <w:style w:type="character" w:styleId="ListLabel3401" w:customStyle="1">
    <w:name w:val="ListLabel 3401"/>
    <w:qFormat/>
    <w:rPr>
      <w:rFonts w:cs="Symbol"/>
    </w:rPr>
  </w:style>
  <w:style w:type="character" w:styleId="ListLabel3402" w:customStyle="1">
    <w:name w:val="ListLabel 3402"/>
    <w:qFormat/>
    <w:rPr>
      <w:rFonts w:cs="Wingdings"/>
    </w:rPr>
  </w:style>
  <w:style w:type="character" w:styleId="ListLabel3403" w:customStyle="1">
    <w:name w:val="ListLabel 3403"/>
    <w:qFormat/>
    <w:rPr>
      <w:rFonts w:cs="Wingdings"/>
    </w:rPr>
  </w:style>
  <w:style w:type="character" w:styleId="ListLabel3404" w:customStyle="1">
    <w:name w:val="ListLabel 3404"/>
    <w:qFormat/>
    <w:rPr>
      <w:rFonts w:cs="Symbol"/>
      <w:sz w:val="24"/>
    </w:rPr>
  </w:style>
  <w:style w:type="character" w:styleId="ListLabel3405" w:customStyle="1">
    <w:name w:val="ListLabel 3405"/>
    <w:qFormat/>
    <w:rPr>
      <w:rFonts w:cs="Courier New"/>
    </w:rPr>
  </w:style>
  <w:style w:type="character" w:styleId="ListLabel3406" w:customStyle="1">
    <w:name w:val="ListLabel 3406"/>
    <w:qFormat/>
    <w:rPr>
      <w:rFonts w:cs="Wingdings"/>
    </w:rPr>
  </w:style>
  <w:style w:type="character" w:styleId="ListLabel3407" w:customStyle="1">
    <w:name w:val="ListLabel 3407"/>
    <w:qFormat/>
    <w:rPr>
      <w:rFonts w:cs="Symbol"/>
    </w:rPr>
  </w:style>
  <w:style w:type="character" w:styleId="ListLabel3408" w:customStyle="1">
    <w:name w:val="ListLabel 3408"/>
    <w:qFormat/>
    <w:rPr>
      <w:rFonts w:cs="Wingdings"/>
    </w:rPr>
  </w:style>
  <w:style w:type="character" w:styleId="ListLabel3409" w:customStyle="1">
    <w:name w:val="ListLabel 3409"/>
    <w:qFormat/>
    <w:rPr>
      <w:rFonts w:cs="Wingdings"/>
    </w:rPr>
  </w:style>
  <w:style w:type="character" w:styleId="ListLabel3410" w:customStyle="1">
    <w:name w:val="ListLabel 3410"/>
    <w:qFormat/>
    <w:rPr>
      <w:rFonts w:cs="Symbol"/>
    </w:rPr>
  </w:style>
  <w:style w:type="character" w:styleId="ListLabel3411" w:customStyle="1">
    <w:name w:val="ListLabel 3411"/>
    <w:qFormat/>
    <w:rPr>
      <w:rFonts w:cs="Symbol"/>
      <w:b/>
    </w:rPr>
  </w:style>
  <w:style w:type="character" w:styleId="ListLabel3412" w:customStyle="1">
    <w:name w:val="ListLabel 3412"/>
    <w:qFormat/>
    <w:rPr>
      <w:rFonts w:cs="Wingdings"/>
    </w:rPr>
  </w:style>
  <w:style w:type="character" w:styleId="ListLabel3413" w:customStyle="1">
    <w:name w:val="ListLabel 3413"/>
    <w:qFormat/>
    <w:rPr>
      <w:rFonts w:cs="Symbol"/>
      <w:sz w:val="24"/>
    </w:rPr>
  </w:style>
  <w:style w:type="character" w:styleId="ListLabel3414" w:customStyle="1">
    <w:name w:val="ListLabel 3414"/>
    <w:qFormat/>
    <w:rPr>
      <w:rFonts w:cs="Symbol"/>
    </w:rPr>
  </w:style>
  <w:style w:type="character" w:styleId="ListLabel3415" w:customStyle="1">
    <w:name w:val="ListLabel 3415"/>
    <w:qFormat/>
    <w:rPr>
      <w:rFonts w:cs="Wingdings"/>
    </w:rPr>
  </w:style>
  <w:style w:type="character" w:styleId="ListLabel3416" w:customStyle="1">
    <w:name w:val="ListLabel 3416"/>
    <w:qFormat/>
    <w:rPr>
      <w:rFonts w:cs="Symbol"/>
    </w:rPr>
  </w:style>
  <w:style w:type="character" w:styleId="ListLabel3417" w:customStyle="1">
    <w:name w:val="ListLabel 3417"/>
    <w:qFormat/>
    <w:rPr>
      <w:rFonts w:cs="Courier New"/>
    </w:rPr>
  </w:style>
  <w:style w:type="character" w:styleId="ListLabel3418" w:customStyle="1">
    <w:name w:val="ListLabel 3418"/>
    <w:qFormat/>
    <w:rPr>
      <w:rFonts w:cs="Wingdings"/>
    </w:rPr>
  </w:style>
  <w:style w:type="character" w:styleId="ListLabel3419" w:customStyle="1">
    <w:name w:val="ListLabel 3419"/>
    <w:qFormat/>
    <w:rPr>
      <w:rFonts w:cs="Symbol"/>
    </w:rPr>
  </w:style>
  <w:style w:type="character" w:styleId="ListLabel3420" w:customStyle="1">
    <w:name w:val="ListLabel 3420"/>
    <w:qFormat/>
    <w:rPr>
      <w:rFonts w:cs="Wingdings"/>
    </w:rPr>
  </w:style>
  <w:style w:type="character" w:styleId="ListLabel3421" w:customStyle="1">
    <w:name w:val="ListLabel 3421"/>
    <w:qFormat/>
    <w:rPr>
      <w:rFonts w:cs="Wingdings"/>
    </w:rPr>
  </w:style>
  <w:style w:type="character" w:styleId="ListLabel3422" w:customStyle="1">
    <w:name w:val="ListLabel 3422"/>
    <w:qFormat/>
    <w:rPr>
      <w:rFonts w:cs="Symbol"/>
      <w:sz w:val="24"/>
    </w:rPr>
  </w:style>
  <w:style w:type="character" w:styleId="ListLabel3423" w:customStyle="1">
    <w:name w:val="ListLabel 3423"/>
    <w:qFormat/>
    <w:rPr>
      <w:rFonts w:cs="Times New Roman"/>
    </w:rPr>
  </w:style>
  <w:style w:type="character" w:styleId="ListLabel3424" w:customStyle="1">
    <w:name w:val="ListLabel 3424"/>
    <w:qFormat/>
    <w:rPr>
      <w:rFonts w:cs="Wingdings"/>
    </w:rPr>
  </w:style>
  <w:style w:type="character" w:styleId="ListLabel3425" w:customStyle="1">
    <w:name w:val="ListLabel 3425"/>
    <w:qFormat/>
    <w:rPr>
      <w:rFonts w:cs="Symbol"/>
    </w:rPr>
  </w:style>
  <w:style w:type="character" w:styleId="ListLabel3426" w:customStyle="1">
    <w:name w:val="ListLabel 3426"/>
    <w:qFormat/>
    <w:rPr>
      <w:rFonts w:cs="Times New Roman"/>
    </w:rPr>
  </w:style>
  <w:style w:type="character" w:styleId="ListLabel3427" w:customStyle="1">
    <w:name w:val="ListLabel 3427"/>
    <w:qFormat/>
    <w:rPr>
      <w:rFonts w:cs="Wingdings"/>
    </w:rPr>
  </w:style>
  <w:style w:type="character" w:styleId="ListLabel3428" w:customStyle="1">
    <w:name w:val="ListLabel 3428"/>
    <w:qFormat/>
    <w:rPr>
      <w:rFonts w:cs="Symbol"/>
    </w:rPr>
  </w:style>
  <w:style w:type="character" w:styleId="ListLabel3429" w:customStyle="1">
    <w:name w:val="ListLabel 3429"/>
    <w:qFormat/>
    <w:rPr>
      <w:rFonts w:cs="Times New Roman"/>
    </w:rPr>
  </w:style>
  <w:style w:type="character" w:styleId="ListLabel3430" w:customStyle="1">
    <w:name w:val="ListLabel 3430"/>
    <w:qFormat/>
    <w:rPr>
      <w:rFonts w:cs="Wingdings"/>
    </w:rPr>
  </w:style>
  <w:style w:type="character" w:styleId="ListLabel3431" w:customStyle="1">
    <w:name w:val="ListLabel 3431"/>
    <w:qFormat/>
    <w:rPr>
      <w:rFonts w:cs="Wingdings"/>
      <w:sz w:val="24"/>
    </w:rPr>
  </w:style>
  <w:style w:type="character" w:styleId="ListLabel3432" w:customStyle="1">
    <w:name w:val="ListLabel 3432"/>
    <w:qFormat/>
    <w:rPr>
      <w:rFonts w:cs="Times New Roman"/>
    </w:rPr>
  </w:style>
  <w:style w:type="character" w:styleId="ListLabel3433" w:customStyle="1">
    <w:name w:val="ListLabel 3433"/>
    <w:qFormat/>
    <w:rPr>
      <w:rFonts w:cs="Wingdings"/>
    </w:rPr>
  </w:style>
  <w:style w:type="character" w:styleId="ListLabel3434" w:customStyle="1">
    <w:name w:val="ListLabel 3434"/>
    <w:qFormat/>
    <w:rPr>
      <w:rFonts w:cs="Symbol"/>
    </w:rPr>
  </w:style>
  <w:style w:type="character" w:styleId="ListLabel3435" w:customStyle="1">
    <w:name w:val="ListLabel 3435"/>
    <w:qFormat/>
    <w:rPr>
      <w:rFonts w:cs="Times New Roman"/>
    </w:rPr>
  </w:style>
  <w:style w:type="character" w:styleId="ListLabel3436" w:customStyle="1">
    <w:name w:val="ListLabel 3436"/>
    <w:qFormat/>
    <w:rPr>
      <w:rFonts w:cs="Wingdings"/>
    </w:rPr>
  </w:style>
  <w:style w:type="character" w:styleId="ListLabel3437" w:customStyle="1">
    <w:name w:val="ListLabel 3437"/>
    <w:qFormat/>
    <w:rPr>
      <w:rFonts w:cs="Symbol"/>
    </w:rPr>
  </w:style>
  <w:style w:type="character" w:styleId="ListLabel3438" w:customStyle="1">
    <w:name w:val="ListLabel 3438"/>
    <w:qFormat/>
    <w:rPr>
      <w:rFonts w:cs="Times New Roman"/>
    </w:rPr>
  </w:style>
  <w:style w:type="character" w:styleId="ListLabel3439" w:customStyle="1">
    <w:name w:val="ListLabel 3439"/>
    <w:qFormat/>
    <w:rPr>
      <w:rFonts w:cs="Wingdings"/>
    </w:rPr>
  </w:style>
  <w:style w:type="character" w:styleId="ListLabel3440" w:customStyle="1">
    <w:name w:val="ListLabel 3440"/>
    <w:qFormat/>
    <w:rPr>
      <w:rFonts w:eastAsia="Arial Unicode MS" w:cs="Calibri"/>
      <w:sz w:val="24"/>
      <w:lang w:val="en-US"/>
    </w:rPr>
  </w:style>
  <w:style w:type="character" w:styleId="ListLabel3441" w:customStyle="1">
    <w:name w:val="ListLabel 3441"/>
    <w:qFormat/>
    <w:rPr>
      <w:sz w:val="24"/>
    </w:rPr>
  </w:style>
  <w:style w:type="character" w:styleId="ListLabel3442" w:customStyle="1">
    <w:name w:val="ListLabel 3442"/>
    <w:qFormat/>
    <w:rPr>
      <w:rFonts w:eastAsia="Arial Unicode MS" w:cs="Calibri"/>
      <w:sz w:val="24"/>
    </w:rPr>
  </w:style>
  <w:style w:type="character" w:styleId="ListLabel3443" w:customStyle="1">
    <w:name w:val="ListLabel 3443"/>
    <w:qFormat/>
    <w:rPr>
      <w:rFonts w:eastAsia="Arial Unicode MS" w:cs="Calibri"/>
      <w:sz w:val="24"/>
      <w:lang w:val="el-GR"/>
    </w:rPr>
  </w:style>
  <w:style w:type="character" w:styleId="ListLabel3444" w:customStyle="1">
    <w:name w:val="ListLabel 3444"/>
    <w:qFormat/>
    <w:rPr>
      <w:sz w:val="24"/>
      <w:lang w:val="el-GR"/>
    </w:rPr>
  </w:style>
  <w:style w:type="character" w:styleId="ListLabel3445" w:customStyle="1">
    <w:name w:val="ListLabel 3445"/>
    <w:qFormat/>
    <w:rPr>
      <w:rFonts w:eastAsia="Arial Unicode MS"/>
      <w:bCs/>
      <w:sz w:val="24"/>
      <w:lang w:val="en-US"/>
    </w:rPr>
  </w:style>
  <w:style w:type="character" w:styleId="ListLabel3446" w:customStyle="1">
    <w:name w:val="ListLabel 3446"/>
    <w:qFormat/>
    <w:rPr>
      <w:rFonts w:eastAsia="Arial Unicode MS"/>
      <w:bCs/>
      <w:sz w:val="24"/>
      <w:lang w:val="el-GR"/>
    </w:rPr>
  </w:style>
  <w:style w:type="character" w:styleId="ListLabel3447" w:customStyle="1">
    <w:name w:val="ListLabel 3447"/>
    <w:qFormat/>
    <w:rPr>
      <w:rFonts w:cs="Tahoma"/>
      <w:i/>
      <w:iCs/>
      <w:color w:val="auto"/>
      <w:sz w:val="24"/>
    </w:rPr>
  </w:style>
  <w:style w:type="character" w:styleId="ListLabel3448" w:customStyle="1">
    <w:name w:val="ListLabel 3448"/>
    <w:qFormat/>
    <w:rPr>
      <w:rFonts w:cs="Tahoma"/>
      <w:color w:val="auto"/>
      <w:sz w:val="24"/>
      <w:lang w:val="el-GR"/>
    </w:rPr>
  </w:style>
  <w:style w:type="character" w:styleId="ListLabel3449" w:customStyle="1">
    <w:name w:val="ListLabel 3449"/>
    <w:qFormat/>
    <w:rPr>
      <w:rFonts w:ascii="Calibri" w:hAnsi="Calibri" w:cs="Calibri"/>
      <w:sz w:val="24"/>
      <w:szCs w:val="24"/>
    </w:rPr>
  </w:style>
  <w:style w:type="character" w:styleId="ListLabel3450" w:customStyle="1">
    <w:name w:val="ListLabel 3450"/>
    <w:qFormat/>
    <w:rPr>
      <w:rFonts w:eastAsia="Arial Unicode MS" w:cs="Calibri"/>
      <w:sz w:val="24"/>
      <w:szCs w:val="24"/>
    </w:rPr>
  </w:style>
  <w:style w:type="character" w:styleId="ListLabel3451" w:customStyle="1">
    <w:name w:val="ListLabel 3451"/>
    <w:qFormat/>
    <w:rPr>
      <w:rFonts w:eastAsia="Arial Unicode MS" w:cs="Times New Roman"/>
      <w:sz w:val="24"/>
      <w:lang w:val="el-GR" w:eastAsia="el-GR"/>
    </w:rPr>
  </w:style>
  <w:style w:type="character" w:styleId="ListLabel3452" w:customStyle="1">
    <w:name w:val="ListLabel 3452"/>
    <w:qFormat/>
    <w:rPr>
      <w:rFonts w:cs="Tahoma"/>
      <w:sz w:val="24"/>
      <w:lang w:eastAsia="el-GR"/>
    </w:rPr>
  </w:style>
  <w:style w:type="character" w:styleId="ListLabel3453" w:customStyle="1">
    <w:name w:val="ListLabel 3453"/>
    <w:qFormat/>
    <w:rPr>
      <w:rFonts w:cs="Tahoma"/>
      <w:sz w:val="24"/>
      <w:lang w:val="el-GR" w:eastAsia="el-GR"/>
    </w:rPr>
  </w:style>
  <w:style w:type="character" w:styleId="ListLabel3454" w:customStyle="1">
    <w:name w:val="ListLabel 3454"/>
    <w:qFormat/>
    <w:rPr>
      <w:rFonts w:cs="Times New Roman"/>
      <w:sz w:val="22"/>
    </w:rPr>
  </w:style>
  <w:style w:type="character" w:styleId="ListLabel3455" w:customStyle="1">
    <w:name w:val="ListLabel 3455"/>
    <w:qFormat/>
    <w:rPr>
      <w:rFonts w:cs="Symbol"/>
      <w:strike/>
      <w:color w:val="0070C0"/>
      <w:kern w:val="2"/>
      <w:position w:val="0"/>
      <w:sz w:val="24"/>
      <w:sz w:val="24"/>
      <w:vertAlign w:val="baseline"/>
    </w:rPr>
  </w:style>
  <w:style w:type="character" w:styleId="ListLabel3456" w:customStyle="1">
    <w:name w:val="ListLabel 3456"/>
    <w:qFormat/>
    <w:rPr>
      <w:rFonts w:cs="Calibri"/>
      <w:sz w:val="24"/>
    </w:rPr>
  </w:style>
  <w:style w:type="character" w:styleId="ListLabel3457" w:customStyle="1">
    <w:name w:val="ListLabel 3457"/>
    <w:qFormat/>
    <w:rPr>
      <w:rFonts w:cs="Courier New"/>
    </w:rPr>
  </w:style>
  <w:style w:type="character" w:styleId="ListLabel3458" w:customStyle="1">
    <w:name w:val="ListLabel 3458"/>
    <w:qFormat/>
    <w:rPr>
      <w:rFonts w:cs="Wingdings"/>
    </w:rPr>
  </w:style>
  <w:style w:type="character" w:styleId="ListLabel3459" w:customStyle="1">
    <w:name w:val="ListLabel 3459"/>
    <w:qFormat/>
    <w:rPr>
      <w:rFonts w:cs="Symbol"/>
    </w:rPr>
  </w:style>
  <w:style w:type="character" w:styleId="ListLabel3460" w:customStyle="1">
    <w:name w:val="ListLabel 3460"/>
    <w:qFormat/>
    <w:rPr>
      <w:rFonts w:cs="Courier New"/>
    </w:rPr>
  </w:style>
  <w:style w:type="character" w:styleId="ListLabel3461" w:customStyle="1">
    <w:name w:val="ListLabel 3461"/>
    <w:qFormat/>
    <w:rPr>
      <w:rFonts w:cs="Wingdings"/>
    </w:rPr>
  </w:style>
  <w:style w:type="character" w:styleId="ListLabel3462" w:customStyle="1">
    <w:name w:val="ListLabel 3462"/>
    <w:qFormat/>
    <w:rPr>
      <w:rFonts w:cs="Symbol"/>
    </w:rPr>
  </w:style>
  <w:style w:type="character" w:styleId="ListLabel3463" w:customStyle="1">
    <w:name w:val="ListLabel 3463"/>
    <w:qFormat/>
    <w:rPr>
      <w:rFonts w:cs="Courier New"/>
    </w:rPr>
  </w:style>
  <w:style w:type="character" w:styleId="ListLabel3464" w:customStyle="1">
    <w:name w:val="ListLabel 3464"/>
    <w:qFormat/>
    <w:rPr>
      <w:rFonts w:cs="Wingdings"/>
    </w:rPr>
  </w:style>
  <w:style w:type="character" w:styleId="ListLabel3465" w:customStyle="1">
    <w:name w:val="ListLabel 3465"/>
    <w:qFormat/>
    <w:rPr>
      <w:rFonts w:cs="Wingdings"/>
      <w:color w:val="auto"/>
      <w:sz w:val="24"/>
    </w:rPr>
  </w:style>
  <w:style w:type="character" w:styleId="ListLabel3466" w:customStyle="1">
    <w:name w:val="ListLabel 3466"/>
    <w:qFormat/>
    <w:rPr>
      <w:rFonts w:cs="Courier New"/>
    </w:rPr>
  </w:style>
  <w:style w:type="character" w:styleId="ListLabel3467" w:customStyle="1">
    <w:name w:val="ListLabel 3467"/>
    <w:qFormat/>
    <w:rPr>
      <w:rFonts w:cs="Wingdings"/>
    </w:rPr>
  </w:style>
  <w:style w:type="character" w:styleId="ListLabel3468" w:customStyle="1">
    <w:name w:val="ListLabel 3468"/>
    <w:qFormat/>
    <w:rPr>
      <w:rFonts w:cs="Symbol"/>
    </w:rPr>
  </w:style>
  <w:style w:type="character" w:styleId="ListLabel3469" w:customStyle="1">
    <w:name w:val="ListLabel 3469"/>
    <w:qFormat/>
    <w:rPr>
      <w:rFonts w:cs="Courier New"/>
    </w:rPr>
  </w:style>
  <w:style w:type="character" w:styleId="ListLabel3470" w:customStyle="1">
    <w:name w:val="ListLabel 3470"/>
    <w:qFormat/>
    <w:rPr>
      <w:rFonts w:cs="Wingdings"/>
    </w:rPr>
  </w:style>
  <w:style w:type="character" w:styleId="ListLabel3471" w:customStyle="1">
    <w:name w:val="ListLabel 3471"/>
    <w:qFormat/>
    <w:rPr>
      <w:rFonts w:cs="Symbol"/>
    </w:rPr>
  </w:style>
  <w:style w:type="character" w:styleId="ListLabel3472" w:customStyle="1">
    <w:name w:val="ListLabel 3472"/>
    <w:qFormat/>
    <w:rPr>
      <w:rFonts w:cs="Courier New"/>
    </w:rPr>
  </w:style>
  <w:style w:type="character" w:styleId="ListLabel3473" w:customStyle="1">
    <w:name w:val="ListLabel 3473"/>
    <w:qFormat/>
    <w:rPr>
      <w:rFonts w:cs="Wingdings"/>
    </w:rPr>
  </w:style>
  <w:style w:type="character" w:styleId="ListLabel3474" w:customStyle="1">
    <w:name w:val="ListLabel 3474"/>
    <w:qFormat/>
    <w:rPr>
      <w:rFonts w:cs="Times New Roman"/>
    </w:rPr>
  </w:style>
  <w:style w:type="character" w:styleId="ListLabel3475" w:customStyle="1">
    <w:name w:val="ListLabel 3475"/>
    <w:qFormat/>
    <w:rPr>
      <w:rFonts w:cs="Times New Roman"/>
    </w:rPr>
  </w:style>
  <w:style w:type="character" w:styleId="ListLabel3476" w:customStyle="1">
    <w:name w:val="ListLabel 3476"/>
    <w:qFormat/>
    <w:rPr>
      <w:rFonts w:cs="Times New Roman"/>
    </w:rPr>
  </w:style>
  <w:style w:type="character" w:styleId="ListLabel3477" w:customStyle="1">
    <w:name w:val="ListLabel 3477"/>
    <w:qFormat/>
    <w:rPr>
      <w:rFonts w:cs="Times New Roman"/>
    </w:rPr>
  </w:style>
  <w:style w:type="character" w:styleId="ListLabel3478" w:customStyle="1">
    <w:name w:val="ListLabel 3478"/>
    <w:qFormat/>
    <w:rPr>
      <w:rFonts w:cs="Times New Roman"/>
    </w:rPr>
  </w:style>
  <w:style w:type="character" w:styleId="ListLabel3479" w:customStyle="1">
    <w:name w:val="ListLabel 3479"/>
    <w:qFormat/>
    <w:rPr>
      <w:rFonts w:cs="Times New Roman"/>
    </w:rPr>
  </w:style>
  <w:style w:type="character" w:styleId="ListLabel3480" w:customStyle="1">
    <w:name w:val="ListLabel 3480"/>
    <w:qFormat/>
    <w:rPr>
      <w:rFonts w:cs="Times New Roman"/>
    </w:rPr>
  </w:style>
  <w:style w:type="character" w:styleId="ListLabel3481" w:customStyle="1">
    <w:name w:val="ListLabel 3481"/>
    <w:qFormat/>
    <w:rPr>
      <w:rFonts w:cs="Times New Roman"/>
    </w:rPr>
  </w:style>
  <w:style w:type="character" w:styleId="ListLabel3482" w:customStyle="1">
    <w:name w:val="ListLabel 3482"/>
    <w:qFormat/>
    <w:rPr>
      <w:rFonts w:cs="Times New Roman"/>
    </w:rPr>
  </w:style>
  <w:style w:type="character" w:styleId="ListLabel3483" w:customStyle="1">
    <w:name w:val="ListLabel 3483"/>
    <w:qFormat/>
    <w:rPr>
      <w:rFonts w:cs="Symbol"/>
      <w:b/>
      <w:sz w:val="24"/>
    </w:rPr>
  </w:style>
  <w:style w:type="character" w:styleId="ListLabel3484" w:customStyle="1">
    <w:name w:val="ListLabel 3484"/>
    <w:qFormat/>
    <w:rPr>
      <w:rFonts w:cs="Courier New"/>
    </w:rPr>
  </w:style>
  <w:style w:type="character" w:styleId="ListLabel3485" w:customStyle="1">
    <w:name w:val="ListLabel 3485"/>
    <w:qFormat/>
    <w:rPr>
      <w:rFonts w:cs="Wingdings"/>
    </w:rPr>
  </w:style>
  <w:style w:type="character" w:styleId="ListLabel3486" w:customStyle="1">
    <w:name w:val="ListLabel 3486"/>
    <w:qFormat/>
    <w:rPr>
      <w:rFonts w:cs="Symbol"/>
    </w:rPr>
  </w:style>
  <w:style w:type="character" w:styleId="ListLabel3487" w:customStyle="1">
    <w:name w:val="ListLabel 3487"/>
    <w:qFormat/>
    <w:rPr>
      <w:rFonts w:cs="Courier New"/>
    </w:rPr>
  </w:style>
  <w:style w:type="character" w:styleId="ListLabel3488" w:customStyle="1">
    <w:name w:val="ListLabel 3488"/>
    <w:qFormat/>
    <w:rPr>
      <w:rFonts w:cs="Wingdings"/>
    </w:rPr>
  </w:style>
  <w:style w:type="character" w:styleId="ListLabel3489" w:customStyle="1">
    <w:name w:val="ListLabel 3489"/>
    <w:qFormat/>
    <w:rPr>
      <w:rFonts w:cs="Symbol"/>
    </w:rPr>
  </w:style>
  <w:style w:type="character" w:styleId="ListLabel3490" w:customStyle="1">
    <w:name w:val="ListLabel 3490"/>
    <w:qFormat/>
    <w:rPr>
      <w:rFonts w:cs="Courier New"/>
    </w:rPr>
  </w:style>
  <w:style w:type="character" w:styleId="ListLabel3491" w:customStyle="1">
    <w:name w:val="ListLabel 3491"/>
    <w:qFormat/>
    <w:rPr>
      <w:rFonts w:cs="Wingdings"/>
    </w:rPr>
  </w:style>
  <w:style w:type="character" w:styleId="ListLabel3492" w:customStyle="1">
    <w:name w:val="ListLabel 3492"/>
    <w:qFormat/>
    <w:rPr>
      <w:rFonts w:cs="Symbol"/>
      <w:strike/>
      <w:color w:val="0070C0"/>
      <w:kern w:val="2"/>
      <w:position w:val="0"/>
      <w:sz w:val="24"/>
      <w:sz w:val="24"/>
      <w:vertAlign w:val="baseline"/>
      <w:lang w:val="el-GR"/>
    </w:rPr>
  </w:style>
  <w:style w:type="character" w:styleId="ListLabel3493" w:customStyle="1">
    <w:name w:val="ListLabel 3493"/>
    <w:qFormat/>
    <w:rPr>
      <w:rFonts w:cs="Courier New"/>
    </w:rPr>
  </w:style>
  <w:style w:type="character" w:styleId="ListLabel3494" w:customStyle="1">
    <w:name w:val="ListLabel 3494"/>
    <w:qFormat/>
    <w:rPr>
      <w:rFonts w:cs="Wingdings"/>
      <w:sz w:val="20"/>
    </w:rPr>
  </w:style>
  <w:style w:type="character" w:styleId="ListLabel3495" w:customStyle="1">
    <w:name w:val="ListLabel 3495"/>
    <w:qFormat/>
    <w:rPr>
      <w:rFonts w:cs="Wingdings"/>
      <w:sz w:val="20"/>
    </w:rPr>
  </w:style>
  <w:style w:type="character" w:styleId="ListLabel3496" w:customStyle="1">
    <w:name w:val="ListLabel 3496"/>
    <w:qFormat/>
    <w:rPr>
      <w:rFonts w:cs="Wingdings"/>
      <w:sz w:val="20"/>
    </w:rPr>
  </w:style>
  <w:style w:type="character" w:styleId="ListLabel3497" w:customStyle="1">
    <w:name w:val="ListLabel 3497"/>
    <w:qFormat/>
    <w:rPr>
      <w:rFonts w:cs="Wingdings"/>
      <w:sz w:val="20"/>
    </w:rPr>
  </w:style>
  <w:style w:type="character" w:styleId="ListLabel3498" w:customStyle="1">
    <w:name w:val="ListLabel 3498"/>
    <w:qFormat/>
    <w:rPr>
      <w:rFonts w:cs="Wingdings"/>
      <w:sz w:val="20"/>
    </w:rPr>
  </w:style>
  <w:style w:type="character" w:styleId="ListLabel3499" w:customStyle="1">
    <w:name w:val="ListLabel 3499"/>
    <w:qFormat/>
    <w:rPr>
      <w:rFonts w:cs="Wingdings"/>
      <w:sz w:val="20"/>
    </w:rPr>
  </w:style>
  <w:style w:type="character" w:styleId="ListLabel3500" w:customStyle="1">
    <w:name w:val="ListLabel 3500"/>
    <w:qFormat/>
    <w:rPr>
      <w:rFonts w:cs="Wingdings"/>
      <w:sz w:val="20"/>
    </w:rPr>
  </w:style>
  <w:style w:type="character" w:styleId="ListLabel3501" w:customStyle="1">
    <w:name w:val="ListLabel 3501"/>
    <w:qFormat/>
    <w:rPr>
      <w:b/>
      <w:bCs/>
      <w:sz w:val="24"/>
    </w:rPr>
  </w:style>
  <w:style w:type="character" w:styleId="ListLabel3502" w:customStyle="1">
    <w:name w:val="ListLabel 3502"/>
    <w:qFormat/>
    <w:rPr>
      <w:rFonts w:cs="Wingdings"/>
      <w:b/>
      <w:sz w:val="24"/>
    </w:rPr>
  </w:style>
  <w:style w:type="character" w:styleId="ListLabel3503" w:customStyle="1">
    <w:name w:val="ListLabel 3503"/>
    <w:qFormat/>
    <w:rPr>
      <w:rFonts w:cs="Courier New"/>
    </w:rPr>
  </w:style>
  <w:style w:type="character" w:styleId="ListLabel3504" w:customStyle="1">
    <w:name w:val="ListLabel 3504"/>
    <w:qFormat/>
    <w:rPr>
      <w:rFonts w:cs="Wingdings"/>
    </w:rPr>
  </w:style>
  <w:style w:type="character" w:styleId="ListLabel3505" w:customStyle="1">
    <w:name w:val="ListLabel 3505"/>
    <w:qFormat/>
    <w:rPr>
      <w:rFonts w:cs="Symbol"/>
    </w:rPr>
  </w:style>
  <w:style w:type="character" w:styleId="ListLabel3506" w:customStyle="1">
    <w:name w:val="ListLabel 3506"/>
    <w:qFormat/>
    <w:rPr>
      <w:rFonts w:cs="Courier New"/>
    </w:rPr>
  </w:style>
  <w:style w:type="character" w:styleId="ListLabel3507" w:customStyle="1">
    <w:name w:val="ListLabel 3507"/>
    <w:qFormat/>
    <w:rPr>
      <w:rFonts w:cs="Wingdings"/>
    </w:rPr>
  </w:style>
  <w:style w:type="character" w:styleId="ListLabel3508" w:customStyle="1">
    <w:name w:val="ListLabel 3508"/>
    <w:qFormat/>
    <w:rPr>
      <w:rFonts w:cs="Symbol"/>
    </w:rPr>
  </w:style>
  <w:style w:type="character" w:styleId="ListLabel3509" w:customStyle="1">
    <w:name w:val="ListLabel 3509"/>
    <w:qFormat/>
    <w:rPr>
      <w:rFonts w:cs="Courier New"/>
    </w:rPr>
  </w:style>
  <w:style w:type="character" w:styleId="ListLabel3510" w:customStyle="1">
    <w:name w:val="ListLabel 3510"/>
    <w:qFormat/>
    <w:rPr>
      <w:rFonts w:cs="Wingdings"/>
    </w:rPr>
  </w:style>
  <w:style w:type="character" w:styleId="ListLabel3511" w:customStyle="1">
    <w:name w:val="ListLabel 3511"/>
    <w:qFormat/>
    <w:rPr>
      <w:rFonts w:cs="OpenSymbol"/>
      <w:sz w:val="24"/>
    </w:rPr>
  </w:style>
  <w:style w:type="character" w:styleId="ListLabel3512" w:customStyle="1">
    <w:name w:val="ListLabel 3512"/>
    <w:qFormat/>
    <w:rPr>
      <w:rFonts w:cs="OpenSymbol"/>
    </w:rPr>
  </w:style>
  <w:style w:type="character" w:styleId="ListLabel3513" w:customStyle="1">
    <w:name w:val="ListLabel 3513"/>
    <w:qFormat/>
    <w:rPr>
      <w:rFonts w:cs="OpenSymbol"/>
    </w:rPr>
  </w:style>
  <w:style w:type="character" w:styleId="ListLabel3514" w:customStyle="1">
    <w:name w:val="ListLabel 3514"/>
    <w:qFormat/>
    <w:rPr>
      <w:rFonts w:cs="OpenSymbol"/>
    </w:rPr>
  </w:style>
  <w:style w:type="character" w:styleId="ListLabel3515" w:customStyle="1">
    <w:name w:val="ListLabel 3515"/>
    <w:qFormat/>
    <w:rPr>
      <w:rFonts w:cs="OpenSymbol"/>
    </w:rPr>
  </w:style>
  <w:style w:type="character" w:styleId="ListLabel3516" w:customStyle="1">
    <w:name w:val="ListLabel 3516"/>
    <w:qFormat/>
    <w:rPr>
      <w:rFonts w:cs="OpenSymbol"/>
    </w:rPr>
  </w:style>
  <w:style w:type="character" w:styleId="ListLabel3517" w:customStyle="1">
    <w:name w:val="ListLabel 3517"/>
    <w:qFormat/>
    <w:rPr>
      <w:rFonts w:cs="OpenSymbol"/>
    </w:rPr>
  </w:style>
  <w:style w:type="character" w:styleId="ListLabel3518" w:customStyle="1">
    <w:name w:val="ListLabel 3518"/>
    <w:qFormat/>
    <w:rPr>
      <w:rFonts w:cs="OpenSymbol"/>
    </w:rPr>
  </w:style>
  <w:style w:type="character" w:styleId="ListLabel3519" w:customStyle="1">
    <w:name w:val="ListLabel 3519"/>
    <w:qFormat/>
    <w:rPr>
      <w:rFonts w:cs="OpenSymbol"/>
    </w:rPr>
  </w:style>
  <w:style w:type="character" w:styleId="ListLabel3520" w:customStyle="1">
    <w:name w:val="ListLabel 3520"/>
    <w:qFormat/>
    <w:rPr>
      <w:rFonts w:cs="Times New Roman"/>
      <w:sz w:val="24"/>
    </w:rPr>
  </w:style>
  <w:style w:type="character" w:styleId="ListLabel3521" w:customStyle="1">
    <w:name w:val="ListLabel 3521"/>
    <w:qFormat/>
    <w:rPr>
      <w:rFonts w:cs="Times New Roman"/>
    </w:rPr>
  </w:style>
  <w:style w:type="character" w:styleId="ListLabel3522" w:customStyle="1">
    <w:name w:val="ListLabel 3522"/>
    <w:qFormat/>
    <w:rPr>
      <w:rFonts w:cs="Times New Roman"/>
    </w:rPr>
  </w:style>
  <w:style w:type="character" w:styleId="ListLabel3523" w:customStyle="1">
    <w:name w:val="ListLabel 3523"/>
    <w:qFormat/>
    <w:rPr>
      <w:rFonts w:cs="Times New Roman"/>
    </w:rPr>
  </w:style>
  <w:style w:type="character" w:styleId="ListLabel3524" w:customStyle="1">
    <w:name w:val="ListLabel 3524"/>
    <w:qFormat/>
    <w:rPr>
      <w:rFonts w:cs="Times New Roman"/>
    </w:rPr>
  </w:style>
  <w:style w:type="character" w:styleId="ListLabel3525" w:customStyle="1">
    <w:name w:val="ListLabel 3525"/>
    <w:qFormat/>
    <w:rPr>
      <w:rFonts w:cs="Times New Roman"/>
    </w:rPr>
  </w:style>
  <w:style w:type="character" w:styleId="ListLabel3526" w:customStyle="1">
    <w:name w:val="ListLabel 3526"/>
    <w:qFormat/>
    <w:rPr>
      <w:rFonts w:cs="Times New Roman"/>
    </w:rPr>
  </w:style>
  <w:style w:type="character" w:styleId="ListLabel3527" w:customStyle="1">
    <w:name w:val="ListLabel 3527"/>
    <w:qFormat/>
    <w:rPr>
      <w:rFonts w:cs="Times New Roman"/>
    </w:rPr>
  </w:style>
  <w:style w:type="character" w:styleId="ListLabel3528" w:customStyle="1">
    <w:name w:val="ListLabel 3528"/>
    <w:qFormat/>
    <w:rPr>
      <w:rFonts w:cs="Times New Roman"/>
    </w:rPr>
  </w:style>
  <w:style w:type="character" w:styleId="ListLabel3529" w:customStyle="1">
    <w:name w:val="ListLabel 3529"/>
    <w:qFormat/>
    <w:rPr>
      <w:rFonts w:cs="Symbol"/>
      <w:sz w:val="24"/>
    </w:rPr>
  </w:style>
  <w:style w:type="character" w:styleId="ListLabel3530" w:customStyle="1">
    <w:name w:val="ListLabel 3530"/>
    <w:qFormat/>
    <w:rPr>
      <w:rFonts w:cs="Wingdings"/>
      <w:color w:val="auto"/>
    </w:rPr>
  </w:style>
  <w:style w:type="character" w:styleId="ListLabel3531" w:customStyle="1">
    <w:name w:val="ListLabel 3531"/>
    <w:qFormat/>
    <w:rPr>
      <w:rFonts w:cs="Wingdings"/>
    </w:rPr>
  </w:style>
  <w:style w:type="character" w:styleId="ListLabel3532" w:customStyle="1">
    <w:name w:val="ListLabel 3532"/>
    <w:qFormat/>
    <w:rPr>
      <w:rFonts w:cs="Symbol"/>
    </w:rPr>
  </w:style>
  <w:style w:type="character" w:styleId="ListLabel3533" w:customStyle="1">
    <w:name w:val="ListLabel 3533"/>
    <w:qFormat/>
    <w:rPr>
      <w:rFonts w:cs="Courier New"/>
    </w:rPr>
  </w:style>
  <w:style w:type="character" w:styleId="ListLabel3534" w:customStyle="1">
    <w:name w:val="ListLabel 3534"/>
    <w:qFormat/>
    <w:rPr>
      <w:rFonts w:cs="Wingdings"/>
    </w:rPr>
  </w:style>
  <w:style w:type="character" w:styleId="ListLabel3535" w:customStyle="1">
    <w:name w:val="ListLabel 3535"/>
    <w:qFormat/>
    <w:rPr>
      <w:rFonts w:cs="Symbol"/>
    </w:rPr>
  </w:style>
  <w:style w:type="character" w:styleId="ListLabel3536" w:customStyle="1">
    <w:name w:val="ListLabel 3536"/>
    <w:qFormat/>
    <w:rPr>
      <w:rFonts w:cs="Wingdings"/>
    </w:rPr>
  </w:style>
  <w:style w:type="character" w:styleId="ListLabel3537" w:customStyle="1">
    <w:name w:val="ListLabel 3537"/>
    <w:qFormat/>
    <w:rPr>
      <w:rFonts w:cs="Wingdings"/>
    </w:rPr>
  </w:style>
  <w:style w:type="character" w:styleId="ListLabel3538" w:customStyle="1">
    <w:name w:val="ListLabel 3538"/>
    <w:qFormat/>
    <w:rPr>
      <w:rFonts w:cs="Symbol"/>
      <w:b/>
      <w:sz w:val="24"/>
    </w:rPr>
  </w:style>
  <w:style w:type="character" w:styleId="ListLabel3539" w:customStyle="1">
    <w:name w:val="ListLabel 3539"/>
    <w:qFormat/>
    <w:rPr>
      <w:rFonts w:cs="Symbol"/>
      <w:sz w:val="24"/>
    </w:rPr>
  </w:style>
  <w:style w:type="character" w:styleId="ListLabel3540" w:customStyle="1">
    <w:name w:val="ListLabel 3540"/>
    <w:qFormat/>
    <w:rPr>
      <w:rFonts w:cs="Symbol"/>
    </w:rPr>
  </w:style>
  <w:style w:type="character" w:styleId="ListLabel3541" w:customStyle="1">
    <w:name w:val="ListLabel 3541"/>
    <w:qFormat/>
    <w:rPr>
      <w:rFonts w:cs="Wingdings"/>
    </w:rPr>
  </w:style>
  <w:style w:type="character" w:styleId="ListLabel3542" w:customStyle="1">
    <w:name w:val="ListLabel 3542"/>
    <w:qFormat/>
    <w:rPr>
      <w:rFonts w:cs="Symbol"/>
    </w:rPr>
  </w:style>
  <w:style w:type="character" w:styleId="ListLabel3543" w:customStyle="1">
    <w:name w:val="ListLabel 3543"/>
    <w:qFormat/>
    <w:rPr>
      <w:rFonts w:cs="Courier New"/>
    </w:rPr>
  </w:style>
  <w:style w:type="character" w:styleId="ListLabel3544" w:customStyle="1">
    <w:name w:val="ListLabel 3544"/>
    <w:qFormat/>
    <w:rPr>
      <w:rFonts w:cs="Wingdings"/>
    </w:rPr>
  </w:style>
  <w:style w:type="character" w:styleId="ListLabel3545" w:customStyle="1">
    <w:name w:val="ListLabel 3545"/>
    <w:qFormat/>
    <w:rPr>
      <w:rFonts w:cs="Symbol"/>
    </w:rPr>
  </w:style>
  <w:style w:type="character" w:styleId="ListLabel3546" w:customStyle="1">
    <w:name w:val="ListLabel 3546"/>
    <w:qFormat/>
    <w:rPr>
      <w:rFonts w:cs="Wingdings"/>
    </w:rPr>
  </w:style>
  <w:style w:type="character" w:styleId="ListLabel3547" w:customStyle="1">
    <w:name w:val="ListLabel 3547"/>
    <w:qFormat/>
    <w:rPr>
      <w:rFonts w:cs="Wingdings"/>
    </w:rPr>
  </w:style>
  <w:style w:type="character" w:styleId="ListLabel3548" w:customStyle="1">
    <w:name w:val="ListLabel 3548"/>
    <w:qFormat/>
    <w:rPr>
      <w:rFonts w:cs="Symbol"/>
      <w:sz w:val="24"/>
    </w:rPr>
  </w:style>
  <w:style w:type="character" w:styleId="ListLabel3549" w:customStyle="1">
    <w:name w:val="ListLabel 3549"/>
    <w:qFormat/>
    <w:rPr>
      <w:rFonts w:cs="Symbol"/>
    </w:rPr>
  </w:style>
  <w:style w:type="character" w:styleId="ListLabel3550" w:customStyle="1">
    <w:name w:val="ListLabel 3550"/>
    <w:qFormat/>
    <w:rPr>
      <w:rFonts w:cs="Wingdings"/>
    </w:rPr>
  </w:style>
  <w:style w:type="character" w:styleId="ListLabel3551" w:customStyle="1">
    <w:name w:val="ListLabel 3551"/>
    <w:qFormat/>
    <w:rPr>
      <w:rFonts w:cs="Symbol"/>
    </w:rPr>
  </w:style>
  <w:style w:type="character" w:styleId="ListLabel3552" w:customStyle="1">
    <w:name w:val="ListLabel 3552"/>
    <w:qFormat/>
    <w:rPr>
      <w:rFonts w:cs="Courier New"/>
    </w:rPr>
  </w:style>
  <w:style w:type="character" w:styleId="ListLabel3553" w:customStyle="1">
    <w:name w:val="ListLabel 3553"/>
    <w:qFormat/>
    <w:rPr>
      <w:rFonts w:cs="Wingdings"/>
    </w:rPr>
  </w:style>
  <w:style w:type="character" w:styleId="ListLabel3554" w:customStyle="1">
    <w:name w:val="ListLabel 3554"/>
    <w:qFormat/>
    <w:rPr>
      <w:rFonts w:cs="Symbol"/>
    </w:rPr>
  </w:style>
  <w:style w:type="character" w:styleId="ListLabel3555" w:customStyle="1">
    <w:name w:val="ListLabel 3555"/>
    <w:qFormat/>
    <w:rPr>
      <w:rFonts w:cs="Wingdings"/>
    </w:rPr>
  </w:style>
  <w:style w:type="character" w:styleId="ListLabel3556" w:customStyle="1">
    <w:name w:val="ListLabel 3556"/>
    <w:qFormat/>
    <w:rPr>
      <w:rFonts w:cs="Wingdings"/>
    </w:rPr>
  </w:style>
  <w:style w:type="character" w:styleId="ListLabel3557" w:customStyle="1">
    <w:name w:val="ListLabel 3557"/>
    <w:qFormat/>
    <w:rPr>
      <w:rFonts w:cs="Symbol"/>
      <w:sz w:val="24"/>
    </w:rPr>
  </w:style>
  <w:style w:type="character" w:styleId="ListLabel3558" w:customStyle="1">
    <w:name w:val="ListLabel 3558"/>
    <w:qFormat/>
    <w:rPr>
      <w:rFonts w:cs="Times New Roman"/>
    </w:rPr>
  </w:style>
  <w:style w:type="character" w:styleId="ListLabel3559" w:customStyle="1">
    <w:name w:val="ListLabel 3559"/>
    <w:qFormat/>
    <w:rPr>
      <w:rFonts w:cs="Wingdings"/>
    </w:rPr>
  </w:style>
  <w:style w:type="character" w:styleId="ListLabel3560" w:customStyle="1">
    <w:name w:val="ListLabel 3560"/>
    <w:qFormat/>
    <w:rPr>
      <w:rFonts w:cs="Symbol"/>
    </w:rPr>
  </w:style>
  <w:style w:type="character" w:styleId="ListLabel3561" w:customStyle="1">
    <w:name w:val="ListLabel 3561"/>
    <w:qFormat/>
    <w:rPr>
      <w:rFonts w:cs="Times New Roman"/>
    </w:rPr>
  </w:style>
  <w:style w:type="character" w:styleId="ListLabel3562" w:customStyle="1">
    <w:name w:val="ListLabel 3562"/>
    <w:qFormat/>
    <w:rPr>
      <w:rFonts w:cs="Wingdings"/>
    </w:rPr>
  </w:style>
  <w:style w:type="character" w:styleId="ListLabel3563" w:customStyle="1">
    <w:name w:val="ListLabel 3563"/>
    <w:qFormat/>
    <w:rPr>
      <w:rFonts w:cs="Symbol"/>
    </w:rPr>
  </w:style>
  <w:style w:type="character" w:styleId="ListLabel3564" w:customStyle="1">
    <w:name w:val="ListLabel 3564"/>
    <w:qFormat/>
    <w:rPr>
      <w:rFonts w:cs="Times New Roman"/>
    </w:rPr>
  </w:style>
  <w:style w:type="character" w:styleId="ListLabel3565" w:customStyle="1">
    <w:name w:val="ListLabel 3565"/>
    <w:qFormat/>
    <w:rPr>
      <w:rFonts w:cs="Wingdings"/>
    </w:rPr>
  </w:style>
  <w:style w:type="character" w:styleId="ListLabel3566" w:customStyle="1">
    <w:name w:val="ListLabel 3566"/>
    <w:qFormat/>
    <w:rPr>
      <w:rFonts w:cs="Symbol"/>
      <w:sz w:val="24"/>
    </w:rPr>
  </w:style>
  <w:style w:type="character" w:styleId="ListLabel3567" w:customStyle="1">
    <w:name w:val="ListLabel 3567"/>
    <w:qFormat/>
    <w:rPr>
      <w:rFonts w:cs="Calibri"/>
    </w:rPr>
  </w:style>
  <w:style w:type="character" w:styleId="ListLabel3568" w:customStyle="1">
    <w:name w:val="ListLabel 3568"/>
    <w:qFormat/>
    <w:rPr>
      <w:rFonts w:cs="Wingdings"/>
    </w:rPr>
  </w:style>
  <w:style w:type="character" w:styleId="ListLabel3569" w:customStyle="1">
    <w:name w:val="ListLabel 3569"/>
    <w:qFormat/>
    <w:rPr>
      <w:rFonts w:cs="Symbol"/>
    </w:rPr>
  </w:style>
  <w:style w:type="character" w:styleId="ListLabel3570" w:customStyle="1">
    <w:name w:val="ListLabel 3570"/>
    <w:qFormat/>
    <w:rPr>
      <w:rFonts w:cs="Courier New"/>
    </w:rPr>
  </w:style>
  <w:style w:type="character" w:styleId="ListLabel3571" w:customStyle="1">
    <w:name w:val="ListLabel 3571"/>
    <w:qFormat/>
    <w:rPr>
      <w:rFonts w:cs="Wingdings"/>
    </w:rPr>
  </w:style>
  <w:style w:type="character" w:styleId="ListLabel3572" w:customStyle="1">
    <w:name w:val="ListLabel 3572"/>
    <w:qFormat/>
    <w:rPr>
      <w:rFonts w:cs="Symbol"/>
    </w:rPr>
  </w:style>
  <w:style w:type="character" w:styleId="ListLabel3573" w:customStyle="1">
    <w:name w:val="ListLabel 3573"/>
    <w:qFormat/>
    <w:rPr>
      <w:rFonts w:cs="Wingdings"/>
    </w:rPr>
  </w:style>
  <w:style w:type="character" w:styleId="ListLabel3574" w:customStyle="1">
    <w:name w:val="ListLabel 3574"/>
    <w:qFormat/>
    <w:rPr>
      <w:rFonts w:cs="Wingdings"/>
    </w:rPr>
  </w:style>
  <w:style w:type="character" w:styleId="ListLabel3575" w:customStyle="1">
    <w:name w:val="ListLabel 3575"/>
    <w:qFormat/>
    <w:rPr>
      <w:rFonts w:cs="Symbol"/>
      <w:sz w:val="24"/>
    </w:rPr>
  </w:style>
  <w:style w:type="character" w:styleId="ListLabel3576" w:customStyle="1">
    <w:name w:val="ListLabel 3576"/>
    <w:qFormat/>
    <w:rPr>
      <w:rFonts w:cs="Symbol"/>
    </w:rPr>
  </w:style>
  <w:style w:type="character" w:styleId="ListLabel3577" w:customStyle="1">
    <w:name w:val="ListLabel 3577"/>
    <w:qFormat/>
    <w:rPr>
      <w:rFonts w:cs="Wingdings"/>
    </w:rPr>
  </w:style>
  <w:style w:type="character" w:styleId="ListLabel3578" w:customStyle="1">
    <w:name w:val="ListLabel 3578"/>
    <w:qFormat/>
    <w:rPr>
      <w:rFonts w:cs="Symbol"/>
    </w:rPr>
  </w:style>
  <w:style w:type="character" w:styleId="ListLabel3579" w:customStyle="1">
    <w:name w:val="ListLabel 3579"/>
    <w:qFormat/>
    <w:rPr>
      <w:rFonts w:cs="Courier New"/>
    </w:rPr>
  </w:style>
  <w:style w:type="character" w:styleId="ListLabel3580" w:customStyle="1">
    <w:name w:val="ListLabel 3580"/>
    <w:qFormat/>
    <w:rPr>
      <w:rFonts w:cs="Wingdings"/>
    </w:rPr>
  </w:style>
  <w:style w:type="character" w:styleId="ListLabel3581" w:customStyle="1">
    <w:name w:val="ListLabel 3581"/>
    <w:qFormat/>
    <w:rPr>
      <w:rFonts w:cs="Symbol"/>
    </w:rPr>
  </w:style>
  <w:style w:type="character" w:styleId="ListLabel3582" w:customStyle="1">
    <w:name w:val="ListLabel 3582"/>
    <w:qFormat/>
    <w:rPr>
      <w:rFonts w:cs="Wingdings"/>
    </w:rPr>
  </w:style>
  <w:style w:type="character" w:styleId="ListLabel3583" w:customStyle="1">
    <w:name w:val="ListLabel 3583"/>
    <w:qFormat/>
    <w:rPr>
      <w:rFonts w:cs="Wingdings"/>
    </w:rPr>
  </w:style>
  <w:style w:type="character" w:styleId="ListLabel3584" w:customStyle="1">
    <w:name w:val="ListLabel 3584"/>
    <w:qFormat/>
    <w:rPr>
      <w:rFonts w:cs="Symbol"/>
      <w:sz w:val="24"/>
    </w:rPr>
  </w:style>
  <w:style w:type="character" w:styleId="ListLabel3585" w:customStyle="1">
    <w:name w:val="ListLabel 3585"/>
    <w:qFormat/>
    <w:rPr>
      <w:rFonts w:cs="Courier New"/>
    </w:rPr>
  </w:style>
  <w:style w:type="character" w:styleId="ListLabel3586" w:customStyle="1">
    <w:name w:val="ListLabel 3586"/>
    <w:qFormat/>
    <w:rPr>
      <w:rFonts w:cs="Wingdings"/>
    </w:rPr>
  </w:style>
  <w:style w:type="character" w:styleId="ListLabel3587" w:customStyle="1">
    <w:name w:val="ListLabel 3587"/>
    <w:qFormat/>
    <w:rPr>
      <w:rFonts w:cs="Symbol"/>
    </w:rPr>
  </w:style>
  <w:style w:type="character" w:styleId="ListLabel3588" w:customStyle="1">
    <w:name w:val="ListLabel 3588"/>
    <w:qFormat/>
    <w:rPr>
      <w:rFonts w:cs="Wingdings"/>
    </w:rPr>
  </w:style>
  <w:style w:type="character" w:styleId="ListLabel3589" w:customStyle="1">
    <w:name w:val="ListLabel 3589"/>
    <w:qFormat/>
    <w:rPr>
      <w:rFonts w:cs="Wingdings"/>
    </w:rPr>
  </w:style>
  <w:style w:type="character" w:styleId="ListLabel3590" w:customStyle="1">
    <w:name w:val="ListLabel 3590"/>
    <w:qFormat/>
    <w:rPr>
      <w:rFonts w:cs="Symbol"/>
    </w:rPr>
  </w:style>
  <w:style w:type="character" w:styleId="ListLabel3591" w:customStyle="1">
    <w:name w:val="ListLabel 3591"/>
    <w:qFormat/>
    <w:rPr>
      <w:rFonts w:cs="Symbol"/>
      <w:b/>
    </w:rPr>
  </w:style>
  <w:style w:type="character" w:styleId="ListLabel3592" w:customStyle="1">
    <w:name w:val="ListLabel 3592"/>
    <w:qFormat/>
    <w:rPr>
      <w:rFonts w:cs="Wingdings"/>
    </w:rPr>
  </w:style>
  <w:style w:type="character" w:styleId="ListLabel3593" w:customStyle="1">
    <w:name w:val="ListLabel 3593"/>
    <w:qFormat/>
    <w:rPr>
      <w:rFonts w:cs="Symbol"/>
      <w:sz w:val="24"/>
    </w:rPr>
  </w:style>
  <w:style w:type="character" w:styleId="ListLabel3594" w:customStyle="1">
    <w:name w:val="ListLabel 3594"/>
    <w:qFormat/>
    <w:rPr>
      <w:rFonts w:cs="Symbol"/>
    </w:rPr>
  </w:style>
  <w:style w:type="character" w:styleId="ListLabel3595" w:customStyle="1">
    <w:name w:val="ListLabel 3595"/>
    <w:qFormat/>
    <w:rPr>
      <w:rFonts w:cs="Wingdings"/>
    </w:rPr>
  </w:style>
  <w:style w:type="character" w:styleId="ListLabel3596" w:customStyle="1">
    <w:name w:val="ListLabel 3596"/>
    <w:qFormat/>
    <w:rPr>
      <w:rFonts w:cs="Symbol"/>
    </w:rPr>
  </w:style>
  <w:style w:type="character" w:styleId="ListLabel3597" w:customStyle="1">
    <w:name w:val="ListLabel 3597"/>
    <w:qFormat/>
    <w:rPr>
      <w:rFonts w:cs="Courier New"/>
    </w:rPr>
  </w:style>
  <w:style w:type="character" w:styleId="ListLabel3598" w:customStyle="1">
    <w:name w:val="ListLabel 3598"/>
    <w:qFormat/>
    <w:rPr>
      <w:rFonts w:cs="Wingdings"/>
    </w:rPr>
  </w:style>
  <w:style w:type="character" w:styleId="ListLabel3599" w:customStyle="1">
    <w:name w:val="ListLabel 3599"/>
    <w:qFormat/>
    <w:rPr>
      <w:rFonts w:cs="Symbol"/>
    </w:rPr>
  </w:style>
  <w:style w:type="character" w:styleId="ListLabel3600" w:customStyle="1">
    <w:name w:val="ListLabel 3600"/>
    <w:qFormat/>
    <w:rPr>
      <w:rFonts w:cs="Wingdings"/>
    </w:rPr>
  </w:style>
  <w:style w:type="character" w:styleId="ListLabel3601" w:customStyle="1">
    <w:name w:val="ListLabel 3601"/>
    <w:qFormat/>
    <w:rPr>
      <w:rFonts w:cs="Wingdings"/>
    </w:rPr>
  </w:style>
  <w:style w:type="character" w:styleId="ListLabel3602" w:customStyle="1">
    <w:name w:val="ListLabel 3602"/>
    <w:qFormat/>
    <w:rPr>
      <w:rFonts w:cs="Symbol"/>
      <w:sz w:val="24"/>
    </w:rPr>
  </w:style>
  <w:style w:type="character" w:styleId="ListLabel3603" w:customStyle="1">
    <w:name w:val="ListLabel 3603"/>
    <w:qFormat/>
    <w:rPr>
      <w:rFonts w:cs="Times New Roman"/>
    </w:rPr>
  </w:style>
  <w:style w:type="character" w:styleId="ListLabel3604" w:customStyle="1">
    <w:name w:val="ListLabel 3604"/>
    <w:qFormat/>
    <w:rPr>
      <w:rFonts w:cs="Wingdings"/>
    </w:rPr>
  </w:style>
  <w:style w:type="character" w:styleId="ListLabel3605" w:customStyle="1">
    <w:name w:val="ListLabel 3605"/>
    <w:qFormat/>
    <w:rPr>
      <w:rFonts w:cs="Symbol"/>
    </w:rPr>
  </w:style>
  <w:style w:type="character" w:styleId="ListLabel3606" w:customStyle="1">
    <w:name w:val="ListLabel 3606"/>
    <w:qFormat/>
    <w:rPr>
      <w:rFonts w:cs="Times New Roman"/>
    </w:rPr>
  </w:style>
  <w:style w:type="character" w:styleId="ListLabel3607" w:customStyle="1">
    <w:name w:val="ListLabel 3607"/>
    <w:qFormat/>
    <w:rPr>
      <w:rFonts w:cs="Wingdings"/>
    </w:rPr>
  </w:style>
  <w:style w:type="character" w:styleId="ListLabel3608" w:customStyle="1">
    <w:name w:val="ListLabel 3608"/>
    <w:qFormat/>
    <w:rPr>
      <w:rFonts w:cs="Symbol"/>
    </w:rPr>
  </w:style>
  <w:style w:type="character" w:styleId="ListLabel3609" w:customStyle="1">
    <w:name w:val="ListLabel 3609"/>
    <w:qFormat/>
    <w:rPr>
      <w:rFonts w:cs="Times New Roman"/>
    </w:rPr>
  </w:style>
  <w:style w:type="character" w:styleId="ListLabel3610" w:customStyle="1">
    <w:name w:val="ListLabel 3610"/>
    <w:qFormat/>
    <w:rPr>
      <w:rFonts w:cs="Wingdings"/>
    </w:rPr>
  </w:style>
  <w:style w:type="character" w:styleId="ListLabel3611" w:customStyle="1">
    <w:name w:val="ListLabel 3611"/>
    <w:qFormat/>
    <w:rPr>
      <w:rFonts w:cs="Wingdings"/>
      <w:sz w:val="24"/>
    </w:rPr>
  </w:style>
  <w:style w:type="character" w:styleId="ListLabel3612" w:customStyle="1">
    <w:name w:val="ListLabel 3612"/>
    <w:qFormat/>
    <w:rPr>
      <w:rFonts w:cs="Times New Roman"/>
    </w:rPr>
  </w:style>
  <w:style w:type="character" w:styleId="ListLabel3613" w:customStyle="1">
    <w:name w:val="ListLabel 3613"/>
    <w:qFormat/>
    <w:rPr>
      <w:rFonts w:cs="Wingdings"/>
    </w:rPr>
  </w:style>
  <w:style w:type="character" w:styleId="ListLabel3614" w:customStyle="1">
    <w:name w:val="ListLabel 3614"/>
    <w:qFormat/>
    <w:rPr>
      <w:rFonts w:cs="Symbol"/>
    </w:rPr>
  </w:style>
  <w:style w:type="character" w:styleId="ListLabel3615" w:customStyle="1">
    <w:name w:val="ListLabel 3615"/>
    <w:qFormat/>
    <w:rPr>
      <w:rFonts w:cs="Times New Roman"/>
    </w:rPr>
  </w:style>
  <w:style w:type="character" w:styleId="ListLabel3616" w:customStyle="1">
    <w:name w:val="ListLabel 3616"/>
    <w:qFormat/>
    <w:rPr>
      <w:rFonts w:cs="Wingdings"/>
    </w:rPr>
  </w:style>
  <w:style w:type="character" w:styleId="ListLabel3617" w:customStyle="1">
    <w:name w:val="ListLabel 3617"/>
    <w:qFormat/>
    <w:rPr>
      <w:rFonts w:cs="Symbol"/>
    </w:rPr>
  </w:style>
  <w:style w:type="character" w:styleId="ListLabel3618" w:customStyle="1">
    <w:name w:val="ListLabel 3618"/>
    <w:qFormat/>
    <w:rPr>
      <w:rFonts w:cs="Times New Roman"/>
    </w:rPr>
  </w:style>
  <w:style w:type="character" w:styleId="ListLabel3619" w:customStyle="1">
    <w:name w:val="ListLabel 3619"/>
    <w:qFormat/>
    <w:rPr>
      <w:rFonts w:cs="Wingdings"/>
    </w:rPr>
  </w:style>
  <w:style w:type="character" w:styleId="ListLabel3620" w:customStyle="1">
    <w:name w:val="ListLabel 3620"/>
    <w:qFormat/>
    <w:rPr>
      <w:rFonts w:eastAsia="Arial Unicode MS" w:cs="Calibri"/>
      <w:sz w:val="24"/>
      <w:lang w:val="en-US"/>
    </w:rPr>
  </w:style>
  <w:style w:type="character" w:styleId="ListLabel3621" w:customStyle="1">
    <w:name w:val="ListLabel 3621"/>
    <w:qFormat/>
    <w:rPr>
      <w:sz w:val="24"/>
    </w:rPr>
  </w:style>
  <w:style w:type="character" w:styleId="ListLabel3622" w:customStyle="1">
    <w:name w:val="ListLabel 3622"/>
    <w:qFormat/>
    <w:rPr>
      <w:rFonts w:eastAsia="Arial Unicode MS" w:cs="Calibri"/>
      <w:sz w:val="24"/>
    </w:rPr>
  </w:style>
  <w:style w:type="character" w:styleId="ListLabel3623" w:customStyle="1">
    <w:name w:val="ListLabel 3623"/>
    <w:qFormat/>
    <w:rPr>
      <w:rFonts w:eastAsia="Arial Unicode MS" w:cs="Calibri"/>
      <w:sz w:val="24"/>
      <w:lang w:val="el-GR"/>
    </w:rPr>
  </w:style>
  <w:style w:type="character" w:styleId="ListLabel3624" w:customStyle="1">
    <w:name w:val="ListLabel 3624"/>
    <w:qFormat/>
    <w:rPr>
      <w:sz w:val="24"/>
      <w:lang w:val="el-GR"/>
    </w:rPr>
  </w:style>
  <w:style w:type="character" w:styleId="ListLabel3625" w:customStyle="1">
    <w:name w:val="ListLabel 3625"/>
    <w:qFormat/>
    <w:rPr>
      <w:rFonts w:eastAsia="Arial Unicode MS"/>
      <w:bCs/>
      <w:sz w:val="24"/>
      <w:lang w:val="en-US"/>
    </w:rPr>
  </w:style>
  <w:style w:type="character" w:styleId="ListLabel3626" w:customStyle="1">
    <w:name w:val="ListLabel 3626"/>
    <w:qFormat/>
    <w:rPr>
      <w:rFonts w:eastAsia="Arial Unicode MS"/>
      <w:bCs/>
      <w:sz w:val="24"/>
      <w:lang w:val="el-GR"/>
    </w:rPr>
  </w:style>
  <w:style w:type="character" w:styleId="ListLabel3627" w:customStyle="1">
    <w:name w:val="ListLabel 3627"/>
    <w:qFormat/>
    <w:rPr>
      <w:rFonts w:cs="Tahoma"/>
      <w:i/>
      <w:iCs/>
      <w:color w:val="auto"/>
      <w:sz w:val="24"/>
    </w:rPr>
  </w:style>
  <w:style w:type="character" w:styleId="ListLabel3628" w:customStyle="1">
    <w:name w:val="ListLabel 3628"/>
    <w:qFormat/>
    <w:rPr>
      <w:rFonts w:cs="Tahoma"/>
      <w:color w:val="auto"/>
      <w:sz w:val="24"/>
      <w:lang w:val="el-GR"/>
    </w:rPr>
  </w:style>
  <w:style w:type="character" w:styleId="ListLabel3629" w:customStyle="1">
    <w:name w:val="ListLabel 3629"/>
    <w:qFormat/>
    <w:rPr>
      <w:rFonts w:ascii="Calibri" w:hAnsi="Calibri" w:cs="Calibri"/>
      <w:sz w:val="24"/>
      <w:szCs w:val="24"/>
    </w:rPr>
  </w:style>
  <w:style w:type="character" w:styleId="ListLabel3630" w:customStyle="1">
    <w:name w:val="ListLabel 3630"/>
    <w:qFormat/>
    <w:rPr>
      <w:rFonts w:eastAsia="Arial Unicode MS" w:cs="Calibri"/>
      <w:sz w:val="24"/>
      <w:szCs w:val="24"/>
    </w:rPr>
  </w:style>
  <w:style w:type="character" w:styleId="ListLabel3631" w:customStyle="1">
    <w:name w:val="ListLabel 3631"/>
    <w:qFormat/>
    <w:rPr>
      <w:rFonts w:eastAsia="Arial Unicode MS" w:cs="Times New Roman"/>
      <w:sz w:val="24"/>
      <w:lang w:val="el-GR" w:eastAsia="el-GR"/>
    </w:rPr>
  </w:style>
  <w:style w:type="character" w:styleId="ListLabel3632" w:customStyle="1">
    <w:name w:val="ListLabel 3632"/>
    <w:qFormat/>
    <w:rPr>
      <w:rFonts w:cs="Tahoma"/>
      <w:sz w:val="24"/>
      <w:lang w:eastAsia="el-GR"/>
    </w:rPr>
  </w:style>
  <w:style w:type="character" w:styleId="ListLabel3633" w:customStyle="1">
    <w:name w:val="ListLabel 3633"/>
    <w:qFormat/>
    <w:rPr>
      <w:rFonts w:cs="Tahoma"/>
      <w:sz w:val="24"/>
      <w:lang w:val="el-GR" w:eastAsia="el-GR"/>
    </w:rPr>
  </w:style>
  <w:style w:type="character" w:styleId="ListLabel3634" w:customStyle="1">
    <w:name w:val="ListLabel 3634"/>
    <w:qFormat/>
    <w:rPr>
      <w:rFonts w:cs="Times New Roman"/>
      <w:sz w:val="22"/>
    </w:rPr>
  </w:style>
  <w:style w:type="character" w:styleId="ListLabel3635" w:customStyle="1">
    <w:name w:val="ListLabel 3635"/>
    <w:qFormat/>
    <w:rPr>
      <w:rFonts w:cs="Symbol"/>
      <w:strike/>
      <w:color w:val="0070C0"/>
      <w:kern w:val="2"/>
      <w:position w:val="0"/>
      <w:sz w:val="24"/>
      <w:sz w:val="24"/>
      <w:vertAlign w:val="baseline"/>
    </w:rPr>
  </w:style>
  <w:style w:type="character" w:styleId="ListLabel3636" w:customStyle="1">
    <w:name w:val="ListLabel 3636"/>
    <w:qFormat/>
    <w:rPr>
      <w:rFonts w:cs="Calibri"/>
      <w:sz w:val="24"/>
    </w:rPr>
  </w:style>
  <w:style w:type="character" w:styleId="ListLabel3637" w:customStyle="1">
    <w:name w:val="ListLabel 3637"/>
    <w:qFormat/>
    <w:rPr>
      <w:rFonts w:cs="Courier New"/>
    </w:rPr>
  </w:style>
  <w:style w:type="character" w:styleId="ListLabel3638" w:customStyle="1">
    <w:name w:val="ListLabel 3638"/>
    <w:qFormat/>
    <w:rPr>
      <w:rFonts w:cs="Wingdings"/>
    </w:rPr>
  </w:style>
  <w:style w:type="character" w:styleId="ListLabel3639" w:customStyle="1">
    <w:name w:val="ListLabel 3639"/>
    <w:qFormat/>
    <w:rPr>
      <w:rFonts w:cs="Symbol"/>
    </w:rPr>
  </w:style>
  <w:style w:type="character" w:styleId="ListLabel3640" w:customStyle="1">
    <w:name w:val="ListLabel 3640"/>
    <w:qFormat/>
    <w:rPr>
      <w:rFonts w:cs="Courier New"/>
    </w:rPr>
  </w:style>
  <w:style w:type="character" w:styleId="ListLabel3641" w:customStyle="1">
    <w:name w:val="ListLabel 3641"/>
    <w:qFormat/>
    <w:rPr>
      <w:rFonts w:cs="Wingdings"/>
    </w:rPr>
  </w:style>
  <w:style w:type="character" w:styleId="ListLabel3642" w:customStyle="1">
    <w:name w:val="ListLabel 3642"/>
    <w:qFormat/>
    <w:rPr>
      <w:rFonts w:cs="Symbol"/>
    </w:rPr>
  </w:style>
  <w:style w:type="character" w:styleId="ListLabel3643" w:customStyle="1">
    <w:name w:val="ListLabel 3643"/>
    <w:qFormat/>
    <w:rPr>
      <w:rFonts w:cs="Courier New"/>
    </w:rPr>
  </w:style>
  <w:style w:type="character" w:styleId="ListLabel3644" w:customStyle="1">
    <w:name w:val="ListLabel 3644"/>
    <w:qFormat/>
    <w:rPr>
      <w:rFonts w:cs="Wingdings"/>
    </w:rPr>
  </w:style>
  <w:style w:type="character" w:styleId="ListLabel3645" w:customStyle="1">
    <w:name w:val="ListLabel 3645"/>
    <w:qFormat/>
    <w:rPr>
      <w:rFonts w:cs="Wingdings"/>
      <w:color w:val="auto"/>
      <w:sz w:val="24"/>
    </w:rPr>
  </w:style>
  <w:style w:type="character" w:styleId="ListLabel3646" w:customStyle="1">
    <w:name w:val="ListLabel 3646"/>
    <w:qFormat/>
    <w:rPr>
      <w:rFonts w:cs="Courier New"/>
    </w:rPr>
  </w:style>
  <w:style w:type="character" w:styleId="ListLabel3647" w:customStyle="1">
    <w:name w:val="ListLabel 3647"/>
    <w:qFormat/>
    <w:rPr>
      <w:rFonts w:cs="Wingdings"/>
    </w:rPr>
  </w:style>
  <w:style w:type="character" w:styleId="ListLabel3648" w:customStyle="1">
    <w:name w:val="ListLabel 3648"/>
    <w:qFormat/>
    <w:rPr>
      <w:rFonts w:cs="Symbol"/>
    </w:rPr>
  </w:style>
  <w:style w:type="character" w:styleId="ListLabel3649" w:customStyle="1">
    <w:name w:val="ListLabel 3649"/>
    <w:qFormat/>
    <w:rPr>
      <w:rFonts w:cs="Courier New"/>
    </w:rPr>
  </w:style>
  <w:style w:type="character" w:styleId="ListLabel3650" w:customStyle="1">
    <w:name w:val="ListLabel 3650"/>
    <w:qFormat/>
    <w:rPr>
      <w:rFonts w:cs="Wingdings"/>
    </w:rPr>
  </w:style>
  <w:style w:type="character" w:styleId="ListLabel3651" w:customStyle="1">
    <w:name w:val="ListLabel 3651"/>
    <w:qFormat/>
    <w:rPr>
      <w:rFonts w:cs="Symbol"/>
    </w:rPr>
  </w:style>
  <w:style w:type="character" w:styleId="ListLabel3652" w:customStyle="1">
    <w:name w:val="ListLabel 3652"/>
    <w:qFormat/>
    <w:rPr>
      <w:rFonts w:cs="Courier New"/>
    </w:rPr>
  </w:style>
  <w:style w:type="character" w:styleId="ListLabel3653" w:customStyle="1">
    <w:name w:val="ListLabel 3653"/>
    <w:qFormat/>
    <w:rPr>
      <w:rFonts w:cs="Wingdings"/>
    </w:rPr>
  </w:style>
  <w:style w:type="character" w:styleId="ListLabel3654" w:customStyle="1">
    <w:name w:val="ListLabel 3654"/>
    <w:qFormat/>
    <w:rPr>
      <w:rFonts w:cs="Times New Roman"/>
    </w:rPr>
  </w:style>
  <w:style w:type="character" w:styleId="ListLabel3655" w:customStyle="1">
    <w:name w:val="ListLabel 3655"/>
    <w:qFormat/>
    <w:rPr>
      <w:rFonts w:cs="Times New Roman"/>
    </w:rPr>
  </w:style>
  <w:style w:type="character" w:styleId="ListLabel3656" w:customStyle="1">
    <w:name w:val="ListLabel 3656"/>
    <w:qFormat/>
    <w:rPr>
      <w:rFonts w:cs="Times New Roman"/>
    </w:rPr>
  </w:style>
  <w:style w:type="character" w:styleId="ListLabel3657" w:customStyle="1">
    <w:name w:val="ListLabel 3657"/>
    <w:qFormat/>
    <w:rPr>
      <w:rFonts w:cs="Times New Roman"/>
    </w:rPr>
  </w:style>
  <w:style w:type="character" w:styleId="ListLabel3658" w:customStyle="1">
    <w:name w:val="ListLabel 3658"/>
    <w:qFormat/>
    <w:rPr>
      <w:rFonts w:cs="Times New Roman"/>
    </w:rPr>
  </w:style>
  <w:style w:type="character" w:styleId="ListLabel3659" w:customStyle="1">
    <w:name w:val="ListLabel 3659"/>
    <w:qFormat/>
    <w:rPr>
      <w:rFonts w:cs="Times New Roman"/>
    </w:rPr>
  </w:style>
  <w:style w:type="character" w:styleId="ListLabel3660" w:customStyle="1">
    <w:name w:val="ListLabel 3660"/>
    <w:qFormat/>
    <w:rPr>
      <w:rFonts w:cs="Times New Roman"/>
    </w:rPr>
  </w:style>
  <w:style w:type="character" w:styleId="ListLabel3661" w:customStyle="1">
    <w:name w:val="ListLabel 3661"/>
    <w:qFormat/>
    <w:rPr>
      <w:rFonts w:cs="Times New Roman"/>
    </w:rPr>
  </w:style>
  <w:style w:type="character" w:styleId="ListLabel3662" w:customStyle="1">
    <w:name w:val="ListLabel 3662"/>
    <w:qFormat/>
    <w:rPr>
      <w:rFonts w:cs="Times New Roman"/>
    </w:rPr>
  </w:style>
  <w:style w:type="character" w:styleId="ListLabel3663" w:customStyle="1">
    <w:name w:val="ListLabel 3663"/>
    <w:qFormat/>
    <w:rPr>
      <w:rFonts w:cs="Symbol"/>
      <w:b/>
      <w:sz w:val="24"/>
    </w:rPr>
  </w:style>
  <w:style w:type="character" w:styleId="ListLabel3664" w:customStyle="1">
    <w:name w:val="ListLabel 3664"/>
    <w:qFormat/>
    <w:rPr>
      <w:rFonts w:cs="Courier New"/>
    </w:rPr>
  </w:style>
  <w:style w:type="character" w:styleId="ListLabel3665" w:customStyle="1">
    <w:name w:val="ListLabel 3665"/>
    <w:qFormat/>
    <w:rPr>
      <w:rFonts w:cs="Wingdings"/>
    </w:rPr>
  </w:style>
  <w:style w:type="character" w:styleId="ListLabel3666" w:customStyle="1">
    <w:name w:val="ListLabel 3666"/>
    <w:qFormat/>
    <w:rPr>
      <w:rFonts w:cs="Symbol"/>
    </w:rPr>
  </w:style>
  <w:style w:type="character" w:styleId="ListLabel3667" w:customStyle="1">
    <w:name w:val="ListLabel 3667"/>
    <w:qFormat/>
    <w:rPr>
      <w:rFonts w:cs="Courier New"/>
    </w:rPr>
  </w:style>
  <w:style w:type="character" w:styleId="ListLabel3668" w:customStyle="1">
    <w:name w:val="ListLabel 3668"/>
    <w:qFormat/>
    <w:rPr>
      <w:rFonts w:cs="Wingdings"/>
    </w:rPr>
  </w:style>
  <w:style w:type="character" w:styleId="ListLabel3669" w:customStyle="1">
    <w:name w:val="ListLabel 3669"/>
    <w:qFormat/>
    <w:rPr>
      <w:rFonts w:cs="Symbol"/>
    </w:rPr>
  </w:style>
  <w:style w:type="character" w:styleId="ListLabel3670" w:customStyle="1">
    <w:name w:val="ListLabel 3670"/>
    <w:qFormat/>
    <w:rPr>
      <w:rFonts w:cs="Courier New"/>
    </w:rPr>
  </w:style>
  <w:style w:type="character" w:styleId="ListLabel3671" w:customStyle="1">
    <w:name w:val="ListLabel 3671"/>
    <w:qFormat/>
    <w:rPr>
      <w:rFonts w:cs="Wingdings"/>
    </w:rPr>
  </w:style>
  <w:style w:type="character" w:styleId="ListLabel3672" w:customStyle="1">
    <w:name w:val="ListLabel 3672"/>
    <w:qFormat/>
    <w:rPr>
      <w:rFonts w:cs="Symbol"/>
      <w:strike/>
      <w:color w:val="0070C0"/>
      <w:kern w:val="2"/>
      <w:position w:val="0"/>
      <w:sz w:val="24"/>
      <w:sz w:val="24"/>
      <w:vertAlign w:val="baseline"/>
      <w:lang w:val="el-GR"/>
    </w:rPr>
  </w:style>
  <w:style w:type="character" w:styleId="ListLabel3673" w:customStyle="1">
    <w:name w:val="ListLabel 3673"/>
    <w:qFormat/>
    <w:rPr>
      <w:rFonts w:cs="Courier New"/>
    </w:rPr>
  </w:style>
  <w:style w:type="character" w:styleId="ListLabel3674" w:customStyle="1">
    <w:name w:val="ListLabel 3674"/>
    <w:qFormat/>
    <w:rPr>
      <w:rFonts w:cs="Wingdings"/>
      <w:sz w:val="20"/>
    </w:rPr>
  </w:style>
  <w:style w:type="character" w:styleId="ListLabel3675" w:customStyle="1">
    <w:name w:val="ListLabel 3675"/>
    <w:qFormat/>
    <w:rPr>
      <w:rFonts w:cs="Wingdings"/>
      <w:sz w:val="20"/>
    </w:rPr>
  </w:style>
  <w:style w:type="character" w:styleId="ListLabel3676" w:customStyle="1">
    <w:name w:val="ListLabel 3676"/>
    <w:qFormat/>
    <w:rPr>
      <w:rFonts w:cs="Wingdings"/>
      <w:sz w:val="20"/>
    </w:rPr>
  </w:style>
  <w:style w:type="character" w:styleId="ListLabel3677" w:customStyle="1">
    <w:name w:val="ListLabel 3677"/>
    <w:qFormat/>
    <w:rPr>
      <w:rFonts w:cs="Wingdings"/>
      <w:sz w:val="20"/>
    </w:rPr>
  </w:style>
  <w:style w:type="character" w:styleId="ListLabel3678" w:customStyle="1">
    <w:name w:val="ListLabel 3678"/>
    <w:qFormat/>
    <w:rPr>
      <w:rFonts w:cs="Wingdings"/>
      <w:sz w:val="20"/>
    </w:rPr>
  </w:style>
  <w:style w:type="character" w:styleId="ListLabel3679" w:customStyle="1">
    <w:name w:val="ListLabel 3679"/>
    <w:qFormat/>
    <w:rPr>
      <w:rFonts w:cs="Wingdings"/>
      <w:sz w:val="20"/>
    </w:rPr>
  </w:style>
  <w:style w:type="character" w:styleId="ListLabel3680" w:customStyle="1">
    <w:name w:val="ListLabel 3680"/>
    <w:qFormat/>
    <w:rPr>
      <w:rFonts w:cs="Wingdings"/>
      <w:sz w:val="20"/>
    </w:rPr>
  </w:style>
  <w:style w:type="character" w:styleId="ListLabel3681" w:customStyle="1">
    <w:name w:val="ListLabel 3681"/>
    <w:qFormat/>
    <w:rPr>
      <w:b/>
      <w:bCs/>
      <w:sz w:val="24"/>
    </w:rPr>
  </w:style>
  <w:style w:type="character" w:styleId="ListLabel3682" w:customStyle="1">
    <w:name w:val="ListLabel 3682"/>
    <w:qFormat/>
    <w:rPr>
      <w:rFonts w:cs="Wingdings"/>
      <w:b/>
      <w:sz w:val="24"/>
    </w:rPr>
  </w:style>
  <w:style w:type="character" w:styleId="ListLabel3683" w:customStyle="1">
    <w:name w:val="ListLabel 3683"/>
    <w:qFormat/>
    <w:rPr>
      <w:rFonts w:cs="Courier New"/>
    </w:rPr>
  </w:style>
  <w:style w:type="character" w:styleId="ListLabel3684" w:customStyle="1">
    <w:name w:val="ListLabel 3684"/>
    <w:qFormat/>
    <w:rPr>
      <w:rFonts w:cs="Wingdings"/>
    </w:rPr>
  </w:style>
  <w:style w:type="character" w:styleId="ListLabel3685" w:customStyle="1">
    <w:name w:val="ListLabel 3685"/>
    <w:qFormat/>
    <w:rPr>
      <w:rFonts w:cs="Symbol"/>
    </w:rPr>
  </w:style>
  <w:style w:type="character" w:styleId="ListLabel3686" w:customStyle="1">
    <w:name w:val="ListLabel 3686"/>
    <w:qFormat/>
    <w:rPr>
      <w:rFonts w:cs="Courier New"/>
    </w:rPr>
  </w:style>
  <w:style w:type="character" w:styleId="ListLabel3687" w:customStyle="1">
    <w:name w:val="ListLabel 3687"/>
    <w:qFormat/>
    <w:rPr>
      <w:rFonts w:cs="Wingdings"/>
    </w:rPr>
  </w:style>
  <w:style w:type="character" w:styleId="ListLabel3688" w:customStyle="1">
    <w:name w:val="ListLabel 3688"/>
    <w:qFormat/>
    <w:rPr>
      <w:rFonts w:cs="Symbol"/>
    </w:rPr>
  </w:style>
  <w:style w:type="character" w:styleId="ListLabel3689" w:customStyle="1">
    <w:name w:val="ListLabel 3689"/>
    <w:qFormat/>
    <w:rPr>
      <w:rFonts w:cs="Courier New"/>
    </w:rPr>
  </w:style>
  <w:style w:type="character" w:styleId="ListLabel3690" w:customStyle="1">
    <w:name w:val="ListLabel 3690"/>
    <w:qFormat/>
    <w:rPr>
      <w:rFonts w:cs="Wingdings"/>
    </w:rPr>
  </w:style>
  <w:style w:type="character" w:styleId="ListLabel3691" w:customStyle="1">
    <w:name w:val="ListLabel 3691"/>
    <w:qFormat/>
    <w:rPr>
      <w:rFonts w:cs="OpenSymbol"/>
      <w:sz w:val="24"/>
    </w:rPr>
  </w:style>
  <w:style w:type="character" w:styleId="ListLabel3692" w:customStyle="1">
    <w:name w:val="ListLabel 3692"/>
    <w:qFormat/>
    <w:rPr>
      <w:rFonts w:cs="OpenSymbol"/>
    </w:rPr>
  </w:style>
  <w:style w:type="character" w:styleId="ListLabel3693" w:customStyle="1">
    <w:name w:val="ListLabel 3693"/>
    <w:qFormat/>
    <w:rPr>
      <w:rFonts w:cs="OpenSymbol"/>
    </w:rPr>
  </w:style>
  <w:style w:type="character" w:styleId="ListLabel3694" w:customStyle="1">
    <w:name w:val="ListLabel 3694"/>
    <w:qFormat/>
    <w:rPr>
      <w:rFonts w:cs="OpenSymbol"/>
    </w:rPr>
  </w:style>
  <w:style w:type="character" w:styleId="ListLabel3695" w:customStyle="1">
    <w:name w:val="ListLabel 3695"/>
    <w:qFormat/>
    <w:rPr>
      <w:rFonts w:cs="OpenSymbol"/>
    </w:rPr>
  </w:style>
  <w:style w:type="character" w:styleId="ListLabel3696" w:customStyle="1">
    <w:name w:val="ListLabel 3696"/>
    <w:qFormat/>
    <w:rPr>
      <w:rFonts w:cs="OpenSymbol"/>
    </w:rPr>
  </w:style>
  <w:style w:type="character" w:styleId="ListLabel3697" w:customStyle="1">
    <w:name w:val="ListLabel 3697"/>
    <w:qFormat/>
    <w:rPr>
      <w:rFonts w:cs="OpenSymbol"/>
    </w:rPr>
  </w:style>
  <w:style w:type="character" w:styleId="ListLabel3698" w:customStyle="1">
    <w:name w:val="ListLabel 3698"/>
    <w:qFormat/>
    <w:rPr>
      <w:rFonts w:cs="OpenSymbol"/>
    </w:rPr>
  </w:style>
  <w:style w:type="character" w:styleId="ListLabel3699" w:customStyle="1">
    <w:name w:val="ListLabel 3699"/>
    <w:qFormat/>
    <w:rPr>
      <w:rFonts w:cs="OpenSymbol"/>
    </w:rPr>
  </w:style>
  <w:style w:type="character" w:styleId="ListLabel3700" w:customStyle="1">
    <w:name w:val="ListLabel 3700"/>
    <w:qFormat/>
    <w:rPr>
      <w:rFonts w:cs="Times New Roman"/>
      <w:sz w:val="24"/>
    </w:rPr>
  </w:style>
  <w:style w:type="character" w:styleId="ListLabel3701" w:customStyle="1">
    <w:name w:val="ListLabel 3701"/>
    <w:qFormat/>
    <w:rPr>
      <w:rFonts w:cs="Times New Roman"/>
    </w:rPr>
  </w:style>
  <w:style w:type="character" w:styleId="ListLabel3702" w:customStyle="1">
    <w:name w:val="ListLabel 3702"/>
    <w:qFormat/>
    <w:rPr>
      <w:rFonts w:cs="Times New Roman"/>
    </w:rPr>
  </w:style>
  <w:style w:type="character" w:styleId="ListLabel3703" w:customStyle="1">
    <w:name w:val="ListLabel 3703"/>
    <w:qFormat/>
    <w:rPr>
      <w:rFonts w:cs="Times New Roman"/>
    </w:rPr>
  </w:style>
  <w:style w:type="character" w:styleId="ListLabel3704" w:customStyle="1">
    <w:name w:val="ListLabel 3704"/>
    <w:qFormat/>
    <w:rPr>
      <w:rFonts w:cs="Times New Roman"/>
    </w:rPr>
  </w:style>
  <w:style w:type="character" w:styleId="ListLabel3705" w:customStyle="1">
    <w:name w:val="ListLabel 3705"/>
    <w:qFormat/>
    <w:rPr>
      <w:rFonts w:cs="Times New Roman"/>
    </w:rPr>
  </w:style>
  <w:style w:type="character" w:styleId="ListLabel3706" w:customStyle="1">
    <w:name w:val="ListLabel 3706"/>
    <w:qFormat/>
    <w:rPr>
      <w:rFonts w:cs="Times New Roman"/>
    </w:rPr>
  </w:style>
  <w:style w:type="character" w:styleId="ListLabel3707" w:customStyle="1">
    <w:name w:val="ListLabel 3707"/>
    <w:qFormat/>
    <w:rPr>
      <w:rFonts w:cs="Times New Roman"/>
    </w:rPr>
  </w:style>
  <w:style w:type="character" w:styleId="ListLabel3708" w:customStyle="1">
    <w:name w:val="ListLabel 3708"/>
    <w:qFormat/>
    <w:rPr>
      <w:rFonts w:cs="Times New Roman"/>
    </w:rPr>
  </w:style>
  <w:style w:type="character" w:styleId="ListLabel3709" w:customStyle="1">
    <w:name w:val="ListLabel 3709"/>
    <w:qFormat/>
    <w:rPr>
      <w:rFonts w:cs="Symbol"/>
      <w:sz w:val="24"/>
    </w:rPr>
  </w:style>
  <w:style w:type="character" w:styleId="ListLabel3710" w:customStyle="1">
    <w:name w:val="ListLabel 3710"/>
    <w:qFormat/>
    <w:rPr>
      <w:rFonts w:cs="Wingdings"/>
      <w:color w:val="auto"/>
    </w:rPr>
  </w:style>
  <w:style w:type="character" w:styleId="ListLabel3711" w:customStyle="1">
    <w:name w:val="ListLabel 3711"/>
    <w:qFormat/>
    <w:rPr>
      <w:rFonts w:cs="Wingdings"/>
    </w:rPr>
  </w:style>
  <w:style w:type="character" w:styleId="ListLabel3712" w:customStyle="1">
    <w:name w:val="ListLabel 3712"/>
    <w:qFormat/>
    <w:rPr>
      <w:rFonts w:cs="Symbol"/>
    </w:rPr>
  </w:style>
  <w:style w:type="character" w:styleId="ListLabel3713" w:customStyle="1">
    <w:name w:val="ListLabel 3713"/>
    <w:qFormat/>
    <w:rPr>
      <w:rFonts w:cs="Courier New"/>
    </w:rPr>
  </w:style>
  <w:style w:type="character" w:styleId="ListLabel3714" w:customStyle="1">
    <w:name w:val="ListLabel 3714"/>
    <w:qFormat/>
    <w:rPr>
      <w:rFonts w:cs="Wingdings"/>
    </w:rPr>
  </w:style>
  <w:style w:type="character" w:styleId="ListLabel3715" w:customStyle="1">
    <w:name w:val="ListLabel 3715"/>
    <w:qFormat/>
    <w:rPr>
      <w:rFonts w:cs="Symbol"/>
    </w:rPr>
  </w:style>
  <w:style w:type="character" w:styleId="ListLabel3716" w:customStyle="1">
    <w:name w:val="ListLabel 3716"/>
    <w:qFormat/>
    <w:rPr>
      <w:rFonts w:cs="Wingdings"/>
    </w:rPr>
  </w:style>
  <w:style w:type="character" w:styleId="ListLabel3717" w:customStyle="1">
    <w:name w:val="ListLabel 3717"/>
    <w:qFormat/>
    <w:rPr>
      <w:rFonts w:cs="Wingdings"/>
    </w:rPr>
  </w:style>
  <w:style w:type="character" w:styleId="ListLabel3718" w:customStyle="1">
    <w:name w:val="ListLabel 3718"/>
    <w:qFormat/>
    <w:rPr>
      <w:rFonts w:cs="Symbol"/>
      <w:b/>
      <w:sz w:val="24"/>
    </w:rPr>
  </w:style>
  <w:style w:type="character" w:styleId="ListLabel3719" w:customStyle="1">
    <w:name w:val="ListLabel 3719"/>
    <w:qFormat/>
    <w:rPr>
      <w:rFonts w:cs="Symbol"/>
      <w:sz w:val="24"/>
    </w:rPr>
  </w:style>
  <w:style w:type="character" w:styleId="ListLabel3720" w:customStyle="1">
    <w:name w:val="ListLabel 3720"/>
    <w:qFormat/>
    <w:rPr>
      <w:rFonts w:cs="Symbol"/>
    </w:rPr>
  </w:style>
  <w:style w:type="character" w:styleId="ListLabel3721" w:customStyle="1">
    <w:name w:val="ListLabel 3721"/>
    <w:qFormat/>
    <w:rPr>
      <w:rFonts w:cs="Wingdings"/>
    </w:rPr>
  </w:style>
  <w:style w:type="character" w:styleId="ListLabel3722" w:customStyle="1">
    <w:name w:val="ListLabel 3722"/>
    <w:qFormat/>
    <w:rPr>
      <w:rFonts w:cs="Symbol"/>
    </w:rPr>
  </w:style>
  <w:style w:type="character" w:styleId="ListLabel3723" w:customStyle="1">
    <w:name w:val="ListLabel 3723"/>
    <w:qFormat/>
    <w:rPr>
      <w:rFonts w:cs="Courier New"/>
    </w:rPr>
  </w:style>
  <w:style w:type="character" w:styleId="ListLabel3724" w:customStyle="1">
    <w:name w:val="ListLabel 3724"/>
    <w:qFormat/>
    <w:rPr>
      <w:rFonts w:cs="Wingdings"/>
    </w:rPr>
  </w:style>
  <w:style w:type="character" w:styleId="ListLabel3725" w:customStyle="1">
    <w:name w:val="ListLabel 3725"/>
    <w:qFormat/>
    <w:rPr>
      <w:rFonts w:cs="Symbol"/>
    </w:rPr>
  </w:style>
  <w:style w:type="character" w:styleId="ListLabel3726" w:customStyle="1">
    <w:name w:val="ListLabel 3726"/>
    <w:qFormat/>
    <w:rPr>
      <w:rFonts w:cs="Wingdings"/>
    </w:rPr>
  </w:style>
  <w:style w:type="character" w:styleId="ListLabel3727" w:customStyle="1">
    <w:name w:val="ListLabel 3727"/>
    <w:qFormat/>
    <w:rPr>
      <w:rFonts w:cs="Wingdings"/>
    </w:rPr>
  </w:style>
  <w:style w:type="character" w:styleId="ListLabel3728" w:customStyle="1">
    <w:name w:val="ListLabel 3728"/>
    <w:qFormat/>
    <w:rPr>
      <w:rFonts w:cs="Symbol"/>
      <w:sz w:val="24"/>
    </w:rPr>
  </w:style>
  <w:style w:type="character" w:styleId="ListLabel3729" w:customStyle="1">
    <w:name w:val="ListLabel 3729"/>
    <w:qFormat/>
    <w:rPr>
      <w:rFonts w:cs="Symbol"/>
    </w:rPr>
  </w:style>
  <w:style w:type="character" w:styleId="ListLabel3730" w:customStyle="1">
    <w:name w:val="ListLabel 3730"/>
    <w:qFormat/>
    <w:rPr>
      <w:rFonts w:cs="Wingdings"/>
    </w:rPr>
  </w:style>
  <w:style w:type="character" w:styleId="ListLabel3731" w:customStyle="1">
    <w:name w:val="ListLabel 3731"/>
    <w:qFormat/>
    <w:rPr>
      <w:rFonts w:cs="Symbol"/>
    </w:rPr>
  </w:style>
  <w:style w:type="character" w:styleId="ListLabel3732" w:customStyle="1">
    <w:name w:val="ListLabel 3732"/>
    <w:qFormat/>
    <w:rPr>
      <w:rFonts w:cs="Courier New"/>
    </w:rPr>
  </w:style>
  <w:style w:type="character" w:styleId="ListLabel3733" w:customStyle="1">
    <w:name w:val="ListLabel 3733"/>
    <w:qFormat/>
    <w:rPr>
      <w:rFonts w:cs="Wingdings"/>
    </w:rPr>
  </w:style>
  <w:style w:type="character" w:styleId="ListLabel3734" w:customStyle="1">
    <w:name w:val="ListLabel 3734"/>
    <w:qFormat/>
    <w:rPr>
      <w:rFonts w:cs="Symbol"/>
    </w:rPr>
  </w:style>
  <w:style w:type="character" w:styleId="ListLabel3735" w:customStyle="1">
    <w:name w:val="ListLabel 3735"/>
    <w:qFormat/>
    <w:rPr>
      <w:rFonts w:cs="Wingdings"/>
    </w:rPr>
  </w:style>
  <w:style w:type="character" w:styleId="ListLabel3736" w:customStyle="1">
    <w:name w:val="ListLabel 3736"/>
    <w:qFormat/>
    <w:rPr>
      <w:rFonts w:cs="Wingdings"/>
    </w:rPr>
  </w:style>
  <w:style w:type="character" w:styleId="ListLabel3737" w:customStyle="1">
    <w:name w:val="ListLabel 3737"/>
    <w:qFormat/>
    <w:rPr>
      <w:rFonts w:cs="Symbol"/>
      <w:sz w:val="24"/>
    </w:rPr>
  </w:style>
  <w:style w:type="character" w:styleId="ListLabel3738" w:customStyle="1">
    <w:name w:val="ListLabel 3738"/>
    <w:qFormat/>
    <w:rPr>
      <w:rFonts w:cs="Times New Roman"/>
    </w:rPr>
  </w:style>
  <w:style w:type="character" w:styleId="ListLabel3739" w:customStyle="1">
    <w:name w:val="ListLabel 3739"/>
    <w:qFormat/>
    <w:rPr>
      <w:rFonts w:cs="Wingdings"/>
    </w:rPr>
  </w:style>
  <w:style w:type="character" w:styleId="ListLabel3740" w:customStyle="1">
    <w:name w:val="ListLabel 3740"/>
    <w:qFormat/>
    <w:rPr>
      <w:rFonts w:cs="Symbol"/>
    </w:rPr>
  </w:style>
  <w:style w:type="character" w:styleId="ListLabel3741" w:customStyle="1">
    <w:name w:val="ListLabel 3741"/>
    <w:qFormat/>
    <w:rPr>
      <w:rFonts w:cs="Times New Roman"/>
    </w:rPr>
  </w:style>
  <w:style w:type="character" w:styleId="ListLabel3742" w:customStyle="1">
    <w:name w:val="ListLabel 3742"/>
    <w:qFormat/>
    <w:rPr>
      <w:rFonts w:cs="Wingdings"/>
    </w:rPr>
  </w:style>
  <w:style w:type="character" w:styleId="ListLabel3743" w:customStyle="1">
    <w:name w:val="ListLabel 3743"/>
    <w:qFormat/>
    <w:rPr>
      <w:rFonts w:cs="Symbol"/>
    </w:rPr>
  </w:style>
  <w:style w:type="character" w:styleId="ListLabel3744" w:customStyle="1">
    <w:name w:val="ListLabel 3744"/>
    <w:qFormat/>
    <w:rPr>
      <w:rFonts w:cs="Times New Roman"/>
    </w:rPr>
  </w:style>
  <w:style w:type="character" w:styleId="ListLabel3745" w:customStyle="1">
    <w:name w:val="ListLabel 3745"/>
    <w:qFormat/>
    <w:rPr>
      <w:rFonts w:cs="Wingdings"/>
    </w:rPr>
  </w:style>
  <w:style w:type="character" w:styleId="ListLabel3746" w:customStyle="1">
    <w:name w:val="ListLabel 3746"/>
    <w:qFormat/>
    <w:rPr>
      <w:rFonts w:cs="Symbol"/>
      <w:sz w:val="24"/>
    </w:rPr>
  </w:style>
  <w:style w:type="character" w:styleId="ListLabel3747" w:customStyle="1">
    <w:name w:val="ListLabel 3747"/>
    <w:qFormat/>
    <w:rPr>
      <w:rFonts w:cs="Calibri"/>
    </w:rPr>
  </w:style>
  <w:style w:type="character" w:styleId="ListLabel3748" w:customStyle="1">
    <w:name w:val="ListLabel 3748"/>
    <w:qFormat/>
    <w:rPr>
      <w:rFonts w:cs="Wingdings"/>
    </w:rPr>
  </w:style>
  <w:style w:type="character" w:styleId="ListLabel3749" w:customStyle="1">
    <w:name w:val="ListLabel 3749"/>
    <w:qFormat/>
    <w:rPr>
      <w:rFonts w:cs="Symbol"/>
    </w:rPr>
  </w:style>
  <w:style w:type="character" w:styleId="ListLabel3750" w:customStyle="1">
    <w:name w:val="ListLabel 3750"/>
    <w:qFormat/>
    <w:rPr>
      <w:rFonts w:cs="Courier New"/>
    </w:rPr>
  </w:style>
  <w:style w:type="character" w:styleId="ListLabel3751" w:customStyle="1">
    <w:name w:val="ListLabel 3751"/>
    <w:qFormat/>
    <w:rPr>
      <w:rFonts w:cs="Wingdings"/>
    </w:rPr>
  </w:style>
  <w:style w:type="character" w:styleId="ListLabel3752" w:customStyle="1">
    <w:name w:val="ListLabel 3752"/>
    <w:qFormat/>
    <w:rPr>
      <w:rFonts w:cs="Symbol"/>
    </w:rPr>
  </w:style>
  <w:style w:type="character" w:styleId="ListLabel3753" w:customStyle="1">
    <w:name w:val="ListLabel 3753"/>
    <w:qFormat/>
    <w:rPr>
      <w:rFonts w:cs="Wingdings"/>
    </w:rPr>
  </w:style>
  <w:style w:type="character" w:styleId="ListLabel3754" w:customStyle="1">
    <w:name w:val="ListLabel 3754"/>
    <w:qFormat/>
    <w:rPr>
      <w:rFonts w:cs="Wingdings"/>
    </w:rPr>
  </w:style>
  <w:style w:type="character" w:styleId="ListLabel3755" w:customStyle="1">
    <w:name w:val="ListLabel 3755"/>
    <w:qFormat/>
    <w:rPr>
      <w:rFonts w:cs="Symbol"/>
      <w:sz w:val="24"/>
    </w:rPr>
  </w:style>
  <w:style w:type="character" w:styleId="ListLabel3756" w:customStyle="1">
    <w:name w:val="ListLabel 3756"/>
    <w:qFormat/>
    <w:rPr>
      <w:rFonts w:cs="Symbol"/>
    </w:rPr>
  </w:style>
  <w:style w:type="character" w:styleId="ListLabel3757" w:customStyle="1">
    <w:name w:val="ListLabel 3757"/>
    <w:qFormat/>
    <w:rPr>
      <w:rFonts w:cs="Wingdings"/>
    </w:rPr>
  </w:style>
  <w:style w:type="character" w:styleId="ListLabel3758" w:customStyle="1">
    <w:name w:val="ListLabel 3758"/>
    <w:qFormat/>
    <w:rPr>
      <w:rFonts w:cs="Symbol"/>
    </w:rPr>
  </w:style>
  <w:style w:type="character" w:styleId="ListLabel3759" w:customStyle="1">
    <w:name w:val="ListLabel 3759"/>
    <w:qFormat/>
    <w:rPr>
      <w:rFonts w:cs="Courier New"/>
    </w:rPr>
  </w:style>
  <w:style w:type="character" w:styleId="ListLabel3760" w:customStyle="1">
    <w:name w:val="ListLabel 3760"/>
    <w:qFormat/>
    <w:rPr>
      <w:rFonts w:cs="Wingdings"/>
    </w:rPr>
  </w:style>
  <w:style w:type="character" w:styleId="ListLabel3761" w:customStyle="1">
    <w:name w:val="ListLabel 3761"/>
    <w:qFormat/>
    <w:rPr>
      <w:rFonts w:cs="Symbol"/>
    </w:rPr>
  </w:style>
  <w:style w:type="character" w:styleId="ListLabel3762" w:customStyle="1">
    <w:name w:val="ListLabel 3762"/>
    <w:qFormat/>
    <w:rPr>
      <w:rFonts w:cs="Wingdings"/>
    </w:rPr>
  </w:style>
  <w:style w:type="character" w:styleId="ListLabel3763" w:customStyle="1">
    <w:name w:val="ListLabel 3763"/>
    <w:qFormat/>
    <w:rPr>
      <w:rFonts w:cs="Wingdings"/>
    </w:rPr>
  </w:style>
  <w:style w:type="character" w:styleId="ListLabel3764" w:customStyle="1">
    <w:name w:val="ListLabel 3764"/>
    <w:qFormat/>
    <w:rPr>
      <w:rFonts w:cs="Symbol"/>
      <w:sz w:val="24"/>
    </w:rPr>
  </w:style>
  <w:style w:type="character" w:styleId="ListLabel3765" w:customStyle="1">
    <w:name w:val="ListLabel 3765"/>
    <w:qFormat/>
    <w:rPr>
      <w:rFonts w:cs="Courier New"/>
    </w:rPr>
  </w:style>
  <w:style w:type="character" w:styleId="ListLabel3766" w:customStyle="1">
    <w:name w:val="ListLabel 3766"/>
    <w:qFormat/>
    <w:rPr>
      <w:rFonts w:cs="Wingdings"/>
    </w:rPr>
  </w:style>
  <w:style w:type="character" w:styleId="ListLabel3767" w:customStyle="1">
    <w:name w:val="ListLabel 3767"/>
    <w:qFormat/>
    <w:rPr>
      <w:rFonts w:cs="Symbol"/>
    </w:rPr>
  </w:style>
  <w:style w:type="character" w:styleId="ListLabel3768" w:customStyle="1">
    <w:name w:val="ListLabel 3768"/>
    <w:qFormat/>
    <w:rPr>
      <w:rFonts w:cs="Wingdings"/>
    </w:rPr>
  </w:style>
  <w:style w:type="character" w:styleId="ListLabel3769" w:customStyle="1">
    <w:name w:val="ListLabel 3769"/>
    <w:qFormat/>
    <w:rPr>
      <w:rFonts w:cs="Wingdings"/>
    </w:rPr>
  </w:style>
  <w:style w:type="character" w:styleId="ListLabel3770" w:customStyle="1">
    <w:name w:val="ListLabel 3770"/>
    <w:qFormat/>
    <w:rPr>
      <w:rFonts w:cs="Symbol"/>
    </w:rPr>
  </w:style>
  <w:style w:type="character" w:styleId="ListLabel3771" w:customStyle="1">
    <w:name w:val="ListLabel 3771"/>
    <w:qFormat/>
    <w:rPr>
      <w:rFonts w:cs="Symbol"/>
      <w:b/>
    </w:rPr>
  </w:style>
  <w:style w:type="character" w:styleId="ListLabel3772" w:customStyle="1">
    <w:name w:val="ListLabel 3772"/>
    <w:qFormat/>
    <w:rPr>
      <w:rFonts w:cs="Wingdings"/>
    </w:rPr>
  </w:style>
  <w:style w:type="character" w:styleId="ListLabel3773" w:customStyle="1">
    <w:name w:val="ListLabel 3773"/>
    <w:qFormat/>
    <w:rPr>
      <w:rFonts w:cs="Symbol"/>
      <w:sz w:val="24"/>
    </w:rPr>
  </w:style>
  <w:style w:type="character" w:styleId="ListLabel3774" w:customStyle="1">
    <w:name w:val="ListLabel 3774"/>
    <w:qFormat/>
    <w:rPr>
      <w:rFonts w:cs="Symbol"/>
    </w:rPr>
  </w:style>
  <w:style w:type="character" w:styleId="ListLabel3775" w:customStyle="1">
    <w:name w:val="ListLabel 3775"/>
    <w:qFormat/>
    <w:rPr>
      <w:rFonts w:cs="Wingdings"/>
    </w:rPr>
  </w:style>
  <w:style w:type="character" w:styleId="ListLabel3776" w:customStyle="1">
    <w:name w:val="ListLabel 3776"/>
    <w:qFormat/>
    <w:rPr>
      <w:rFonts w:cs="Symbol"/>
    </w:rPr>
  </w:style>
  <w:style w:type="character" w:styleId="ListLabel3777" w:customStyle="1">
    <w:name w:val="ListLabel 3777"/>
    <w:qFormat/>
    <w:rPr>
      <w:rFonts w:cs="Courier New"/>
    </w:rPr>
  </w:style>
  <w:style w:type="character" w:styleId="ListLabel3778" w:customStyle="1">
    <w:name w:val="ListLabel 3778"/>
    <w:qFormat/>
    <w:rPr>
      <w:rFonts w:cs="Wingdings"/>
    </w:rPr>
  </w:style>
  <w:style w:type="character" w:styleId="ListLabel3779" w:customStyle="1">
    <w:name w:val="ListLabel 3779"/>
    <w:qFormat/>
    <w:rPr>
      <w:rFonts w:cs="Symbol"/>
    </w:rPr>
  </w:style>
  <w:style w:type="character" w:styleId="ListLabel3780" w:customStyle="1">
    <w:name w:val="ListLabel 3780"/>
    <w:qFormat/>
    <w:rPr>
      <w:rFonts w:cs="Wingdings"/>
    </w:rPr>
  </w:style>
  <w:style w:type="character" w:styleId="ListLabel3781" w:customStyle="1">
    <w:name w:val="ListLabel 3781"/>
    <w:qFormat/>
    <w:rPr>
      <w:rFonts w:cs="Wingdings"/>
    </w:rPr>
  </w:style>
  <w:style w:type="character" w:styleId="ListLabel3782" w:customStyle="1">
    <w:name w:val="ListLabel 3782"/>
    <w:qFormat/>
    <w:rPr>
      <w:rFonts w:cs="Symbol"/>
      <w:sz w:val="24"/>
    </w:rPr>
  </w:style>
  <w:style w:type="character" w:styleId="ListLabel3783" w:customStyle="1">
    <w:name w:val="ListLabel 3783"/>
    <w:qFormat/>
    <w:rPr>
      <w:rFonts w:cs="Times New Roman"/>
    </w:rPr>
  </w:style>
  <w:style w:type="character" w:styleId="ListLabel3784" w:customStyle="1">
    <w:name w:val="ListLabel 3784"/>
    <w:qFormat/>
    <w:rPr>
      <w:rFonts w:cs="Wingdings"/>
    </w:rPr>
  </w:style>
  <w:style w:type="character" w:styleId="ListLabel3785" w:customStyle="1">
    <w:name w:val="ListLabel 3785"/>
    <w:qFormat/>
    <w:rPr>
      <w:rFonts w:cs="Symbol"/>
    </w:rPr>
  </w:style>
  <w:style w:type="character" w:styleId="ListLabel3786" w:customStyle="1">
    <w:name w:val="ListLabel 3786"/>
    <w:qFormat/>
    <w:rPr>
      <w:rFonts w:cs="Times New Roman"/>
    </w:rPr>
  </w:style>
  <w:style w:type="character" w:styleId="ListLabel3787" w:customStyle="1">
    <w:name w:val="ListLabel 3787"/>
    <w:qFormat/>
    <w:rPr>
      <w:rFonts w:cs="Wingdings"/>
    </w:rPr>
  </w:style>
  <w:style w:type="character" w:styleId="ListLabel3788" w:customStyle="1">
    <w:name w:val="ListLabel 3788"/>
    <w:qFormat/>
    <w:rPr>
      <w:rFonts w:cs="Symbol"/>
    </w:rPr>
  </w:style>
  <w:style w:type="character" w:styleId="ListLabel3789" w:customStyle="1">
    <w:name w:val="ListLabel 3789"/>
    <w:qFormat/>
    <w:rPr>
      <w:rFonts w:cs="Times New Roman"/>
    </w:rPr>
  </w:style>
  <w:style w:type="character" w:styleId="ListLabel3790" w:customStyle="1">
    <w:name w:val="ListLabel 3790"/>
    <w:qFormat/>
    <w:rPr>
      <w:rFonts w:cs="Wingdings"/>
    </w:rPr>
  </w:style>
  <w:style w:type="character" w:styleId="ListLabel3791" w:customStyle="1">
    <w:name w:val="ListLabel 3791"/>
    <w:qFormat/>
    <w:rPr>
      <w:rFonts w:cs="Wingdings"/>
      <w:sz w:val="24"/>
    </w:rPr>
  </w:style>
  <w:style w:type="character" w:styleId="ListLabel3792" w:customStyle="1">
    <w:name w:val="ListLabel 3792"/>
    <w:qFormat/>
    <w:rPr>
      <w:rFonts w:cs="Times New Roman"/>
    </w:rPr>
  </w:style>
  <w:style w:type="character" w:styleId="ListLabel3793" w:customStyle="1">
    <w:name w:val="ListLabel 3793"/>
    <w:qFormat/>
    <w:rPr>
      <w:rFonts w:cs="Wingdings"/>
    </w:rPr>
  </w:style>
  <w:style w:type="character" w:styleId="ListLabel3794" w:customStyle="1">
    <w:name w:val="ListLabel 3794"/>
    <w:qFormat/>
    <w:rPr>
      <w:rFonts w:cs="Symbol"/>
    </w:rPr>
  </w:style>
  <w:style w:type="character" w:styleId="ListLabel3795" w:customStyle="1">
    <w:name w:val="ListLabel 3795"/>
    <w:qFormat/>
    <w:rPr>
      <w:rFonts w:cs="Times New Roman"/>
    </w:rPr>
  </w:style>
  <w:style w:type="character" w:styleId="ListLabel3796" w:customStyle="1">
    <w:name w:val="ListLabel 3796"/>
    <w:qFormat/>
    <w:rPr>
      <w:rFonts w:cs="Wingdings"/>
    </w:rPr>
  </w:style>
  <w:style w:type="character" w:styleId="ListLabel3797" w:customStyle="1">
    <w:name w:val="ListLabel 3797"/>
    <w:qFormat/>
    <w:rPr>
      <w:rFonts w:cs="Symbol"/>
    </w:rPr>
  </w:style>
  <w:style w:type="character" w:styleId="ListLabel3798" w:customStyle="1">
    <w:name w:val="ListLabel 3798"/>
    <w:qFormat/>
    <w:rPr>
      <w:rFonts w:cs="Times New Roman"/>
    </w:rPr>
  </w:style>
  <w:style w:type="character" w:styleId="ListLabel3799" w:customStyle="1">
    <w:name w:val="ListLabel 3799"/>
    <w:qFormat/>
    <w:rPr>
      <w:rFonts w:cs="Wingdings"/>
    </w:rPr>
  </w:style>
  <w:style w:type="character" w:styleId="ListLabel3800" w:customStyle="1">
    <w:name w:val="ListLabel 3800"/>
    <w:qFormat/>
    <w:rPr>
      <w:rFonts w:eastAsia="Arial Unicode MS" w:cs="Calibri"/>
      <w:sz w:val="24"/>
      <w:lang w:val="en-US"/>
    </w:rPr>
  </w:style>
  <w:style w:type="character" w:styleId="ListLabel3801" w:customStyle="1">
    <w:name w:val="ListLabel 3801"/>
    <w:qFormat/>
    <w:rPr>
      <w:sz w:val="24"/>
    </w:rPr>
  </w:style>
  <w:style w:type="character" w:styleId="ListLabel3802" w:customStyle="1">
    <w:name w:val="ListLabel 3802"/>
    <w:qFormat/>
    <w:rPr>
      <w:rFonts w:eastAsia="Arial Unicode MS" w:cs="Calibri"/>
      <w:sz w:val="24"/>
    </w:rPr>
  </w:style>
  <w:style w:type="character" w:styleId="ListLabel3803" w:customStyle="1">
    <w:name w:val="ListLabel 3803"/>
    <w:qFormat/>
    <w:rPr>
      <w:rFonts w:eastAsia="Arial Unicode MS" w:cs="Calibri"/>
      <w:sz w:val="24"/>
      <w:lang w:val="el-GR"/>
    </w:rPr>
  </w:style>
  <w:style w:type="character" w:styleId="ListLabel3804" w:customStyle="1">
    <w:name w:val="ListLabel 3804"/>
    <w:qFormat/>
    <w:rPr>
      <w:sz w:val="24"/>
      <w:lang w:val="el-GR"/>
    </w:rPr>
  </w:style>
  <w:style w:type="character" w:styleId="ListLabel3805" w:customStyle="1">
    <w:name w:val="ListLabel 3805"/>
    <w:qFormat/>
    <w:rPr>
      <w:rFonts w:eastAsia="Arial Unicode MS"/>
      <w:bCs/>
      <w:sz w:val="24"/>
      <w:lang w:val="en-US"/>
    </w:rPr>
  </w:style>
  <w:style w:type="character" w:styleId="ListLabel3806" w:customStyle="1">
    <w:name w:val="ListLabel 3806"/>
    <w:qFormat/>
    <w:rPr>
      <w:rFonts w:eastAsia="Arial Unicode MS"/>
      <w:bCs/>
      <w:sz w:val="24"/>
      <w:lang w:val="el-GR"/>
    </w:rPr>
  </w:style>
  <w:style w:type="character" w:styleId="ListLabel3807" w:customStyle="1">
    <w:name w:val="ListLabel 3807"/>
    <w:qFormat/>
    <w:rPr>
      <w:rFonts w:cs="Tahoma"/>
      <w:i/>
      <w:iCs/>
      <w:color w:val="auto"/>
      <w:sz w:val="24"/>
    </w:rPr>
  </w:style>
  <w:style w:type="character" w:styleId="ListLabel3808" w:customStyle="1">
    <w:name w:val="ListLabel 3808"/>
    <w:qFormat/>
    <w:rPr>
      <w:rFonts w:cs="Tahoma"/>
      <w:color w:val="auto"/>
      <w:sz w:val="24"/>
      <w:lang w:val="el-GR"/>
    </w:rPr>
  </w:style>
  <w:style w:type="character" w:styleId="ListLabel3809" w:customStyle="1">
    <w:name w:val="ListLabel 3809"/>
    <w:qFormat/>
    <w:rPr>
      <w:rFonts w:ascii="Calibri" w:hAnsi="Calibri" w:cs="Calibri"/>
      <w:sz w:val="24"/>
      <w:szCs w:val="24"/>
    </w:rPr>
  </w:style>
  <w:style w:type="character" w:styleId="ListLabel3810" w:customStyle="1">
    <w:name w:val="ListLabel 3810"/>
    <w:qFormat/>
    <w:rPr>
      <w:rFonts w:eastAsia="Arial Unicode MS" w:cs="Calibri"/>
      <w:sz w:val="24"/>
      <w:szCs w:val="24"/>
    </w:rPr>
  </w:style>
  <w:style w:type="character" w:styleId="ListLabel3811" w:customStyle="1">
    <w:name w:val="ListLabel 3811"/>
    <w:qFormat/>
    <w:rPr>
      <w:rFonts w:eastAsia="Arial Unicode MS" w:cs="Times New Roman"/>
      <w:sz w:val="24"/>
      <w:lang w:val="el-GR" w:eastAsia="el-GR"/>
    </w:rPr>
  </w:style>
  <w:style w:type="character" w:styleId="ListLabel3812" w:customStyle="1">
    <w:name w:val="ListLabel 3812"/>
    <w:qFormat/>
    <w:rPr>
      <w:rFonts w:cs="Tahoma"/>
      <w:sz w:val="24"/>
      <w:lang w:eastAsia="el-GR"/>
    </w:rPr>
  </w:style>
  <w:style w:type="character" w:styleId="ListLabel3813" w:customStyle="1">
    <w:name w:val="ListLabel 3813"/>
    <w:qFormat/>
    <w:rPr>
      <w:rFonts w:cs="Tahoma"/>
      <w:sz w:val="24"/>
      <w:lang w:val="el-GR" w:eastAsia="el-GR"/>
    </w:rPr>
  </w:style>
  <w:style w:type="character" w:styleId="ListLabel3814">
    <w:name w:val="ListLabel 3814"/>
    <w:qFormat/>
    <w:rPr>
      <w:rFonts w:ascii="Calibri" w:hAnsi="Calibri" w:cs="Times New Roman"/>
      <w:sz w:val="22"/>
    </w:rPr>
  </w:style>
  <w:style w:type="character" w:styleId="ListLabel3815">
    <w:name w:val="ListLabel 3815"/>
    <w:qFormat/>
    <w:rPr>
      <w:rFonts w:cs="Symbol"/>
      <w:strike/>
      <w:color w:val="0070C0"/>
      <w:kern w:val="2"/>
      <w:position w:val="0"/>
      <w:sz w:val="16"/>
      <w:sz w:val="16"/>
      <w:vertAlign w:val="baseline"/>
    </w:rPr>
  </w:style>
  <w:style w:type="character" w:styleId="ListLabel3816">
    <w:name w:val="ListLabel 3816"/>
    <w:qFormat/>
    <w:rPr>
      <w:rFonts w:cs="Calibri"/>
      <w:sz w:val="24"/>
    </w:rPr>
  </w:style>
  <w:style w:type="character" w:styleId="ListLabel3817">
    <w:name w:val="ListLabel 3817"/>
    <w:qFormat/>
    <w:rPr>
      <w:rFonts w:cs="Courier New"/>
    </w:rPr>
  </w:style>
  <w:style w:type="character" w:styleId="ListLabel3818">
    <w:name w:val="ListLabel 3818"/>
    <w:qFormat/>
    <w:rPr>
      <w:rFonts w:cs="Wingdings"/>
    </w:rPr>
  </w:style>
  <w:style w:type="character" w:styleId="ListLabel3819">
    <w:name w:val="ListLabel 3819"/>
    <w:qFormat/>
    <w:rPr>
      <w:rFonts w:cs="Symbol"/>
    </w:rPr>
  </w:style>
  <w:style w:type="character" w:styleId="ListLabel3820">
    <w:name w:val="ListLabel 3820"/>
    <w:qFormat/>
    <w:rPr>
      <w:rFonts w:cs="Courier New"/>
    </w:rPr>
  </w:style>
  <w:style w:type="character" w:styleId="ListLabel3821">
    <w:name w:val="ListLabel 3821"/>
    <w:qFormat/>
    <w:rPr>
      <w:rFonts w:cs="Wingdings"/>
    </w:rPr>
  </w:style>
  <w:style w:type="character" w:styleId="ListLabel3822">
    <w:name w:val="ListLabel 3822"/>
    <w:qFormat/>
    <w:rPr>
      <w:rFonts w:cs="Symbol"/>
    </w:rPr>
  </w:style>
  <w:style w:type="character" w:styleId="ListLabel3823">
    <w:name w:val="ListLabel 3823"/>
    <w:qFormat/>
    <w:rPr>
      <w:rFonts w:cs="Courier New"/>
    </w:rPr>
  </w:style>
  <w:style w:type="character" w:styleId="ListLabel3824">
    <w:name w:val="ListLabel 3824"/>
    <w:qFormat/>
    <w:rPr>
      <w:rFonts w:cs="Wingdings"/>
    </w:rPr>
  </w:style>
  <w:style w:type="character" w:styleId="ListLabel3825">
    <w:name w:val="ListLabel 3825"/>
    <w:qFormat/>
    <w:rPr>
      <w:rFonts w:cs="Wingdings"/>
      <w:b/>
      <w:color w:val="auto"/>
      <w:sz w:val="24"/>
    </w:rPr>
  </w:style>
  <w:style w:type="character" w:styleId="ListLabel3826">
    <w:name w:val="ListLabel 3826"/>
    <w:qFormat/>
    <w:rPr>
      <w:rFonts w:cs="Courier New"/>
    </w:rPr>
  </w:style>
  <w:style w:type="character" w:styleId="ListLabel3827">
    <w:name w:val="ListLabel 3827"/>
    <w:qFormat/>
    <w:rPr>
      <w:rFonts w:cs="Wingdings"/>
    </w:rPr>
  </w:style>
  <w:style w:type="character" w:styleId="ListLabel3828">
    <w:name w:val="ListLabel 3828"/>
    <w:qFormat/>
    <w:rPr>
      <w:rFonts w:cs="Symbol"/>
    </w:rPr>
  </w:style>
  <w:style w:type="character" w:styleId="ListLabel3829">
    <w:name w:val="ListLabel 3829"/>
    <w:qFormat/>
    <w:rPr>
      <w:rFonts w:cs="Courier New"/>
    </w:rPr>
  </w:style>
  <w:style w:type="character" w:styleId="ListLabel3830">
    <w:name w:val="ListLabel 3830"/>
    <w:qFormat/>
    <w:rPr>
      <w:rFonts w:cs="Wingdings"/>
    </w:rPr>
  </w:style>
  <w:style w:type="character" w:styleId="ListLabel3831">
    <w:name w:val="ListLabel 3831"/>
    <w:qFormat/>
    <w:rPr>
      <w:rFonts w:cs="Symbol"/>
    </w:rPr>
  </w:style>
  <w:style w:type="character" w:styleId="ListLabel3832">
    <w:name w:val="ListLabel 3832"/>
    <w:qFormat/>
    <w:rPr>
      <w:rFonts w:cs="Courier New"/>
    </w:rPr>
  </w:style>
  <w:style w:type="character" w:styleId="ListLabel3833">
    <w:name w:val="ListLabel 3833"/>
    <w:qFormat/>
    <w:rPr>
      <w:rFonts w:cs="Wingdings"/>
    </w:rPr>
  </w:style>
  <w:style w:type="character" w:styleId="ListLabel3834">
    <w:name w:val="ListLabel 3834"/>
    <w:qFormat/>
    <w:rPr>
      <w:rFonts w:cs="Times New Roman"/>
    </w:rPr>
  </w:style>
  <w:style w:type="character" w:styleId="ListLabel3835">
    <w:name w:val="ListLabel 3835"/>
    <w:qFormat/>
    <w:rPr>
      <w:rFonts w:cs="Times New Roman"/>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rPr>
  </w:style>
  <w:style w:type="character" w:styleId="ListLabel3840">
    <w:name w:val="ListLabel 3840"/>
    <w:qFormat/>
    <w:rPr>
      <w:rFonts w:cs="Times New Roman"/>
    </w:rPr>
  </w:style>
  <w:style w:type="character" w:styleId="ListLabel3841">
    <w:name w:val="ListLabel 3841"/>
    <w:qFormat/>
    <w:rPr>
      <w:rFonts w:cs="Times New Roman"/>
    </w:rPr>
  </w:style>
  <w:style w:type="character" w:styleId="ListLabel3842">
    <w:name w:val="ListLabel 3842"/>
    <w:qFormat/>
    <w:rPr>
      <w:rFonts w:cs="Times New Roman"/>
    </w:rPr>
  </w:style>
  <w:style w:type="character" w:styleId="ListLabel3843">
    <w:name w:val="ListLabel 3843"/>
    <w:qFormat/>
    <w:rPr>
      <w:rFonts w:cs="Symbol"/>
      <w:b/>
      <w:sz w:val="24"/>
    </w:rPr>
  </w:style>
  <w:style w:type="character" w:styleId="ListLabel3844">
    <w:name w:val="ListLabel 3844"/>
    <w:qFormat/>
    <w:rPr>
      <w:rFonts w:cs="Courier New"/>
    </w:rPr>
  </w:style>
  <w:style w:type="character" w:styleId="ListLabel3845">
    <w:name w:val="ListLabel 3845"/>
    <w:qFormat/>
    <w:rPr>
      <w:rFonts w:cs="Wingdings"/>
    </w:rPr>
  </w:style>
  <w:style w:type="character" w:styleId="ListLabel3846">
    <w:name w:val="ListLabel 3846"/>
    <w:qFormat/>
    <w:rPr>
      <w:rFonts w:cs="Symbol"/>
    </w:rPr>
  </w:style>
  <w:style w:type="character" w:styleId="ListLabel3847">
    <w:name w:val="ListLabel 3847"/>
    <w:qFormat/>
    <w:rPr>
      <w:rFonts w:cs="Courier New"/>
    </w:rPr>
  </w:style>
  <w:style w:type="character" w:styleId="ListLabel3848">
    <w:name w:val="ListLabel 3848"/>
    <w:qFormat/>
    <w:rPr>
      <w:rFonts w:cs="Wingdings"/>
    </w:rPr>
  </w:style>
  <w:style w:type="character" w:styleId="ListLabel3849">
    <w:name w:val="ListLabel 3849"/>
    <w:qFormat/>
    <w:rPr>
      <w:rFonts w:cs="Symbol"/>
    </w:rPr>
  </w:style>
  <w:style w:type="character" w:styleId="ListLabel3850">
    <w:name w:val="ListLabel 3850"/>
    <w:qFormat/>
    <w:rPr>
      <w:rFonts w:cs="Courier New"/>
    </w:rPr>
  </w:style>
  <w:style w:type="character" w:styleId="ListLabel3851">
    <w:name w:val="ListLabel 3851"/>
    <w:qFormat/>
    <w:rPr>
      <w:rFonts w:cs="Wingdings"/>
    </w:rPr>
  </w:style>
  <w:style w:type="character" w:styleId="ListLabel3852">
    <w:name w:val="ListLabel 3852"/>
    <w:qFormat/>
    <w:rPr>
      <w:rFonts w:cs="Symbol"/>
      <w:strike/>
      <w:color w:val="0070C0"/>
      <w:kern w:val="2"/>
      <w:position w:val="0"/>
      <w:sz w:val="24"/>
      <w:sz w:val="24"/>
      <w:vertAlign w:val="baseline"/>
      <w:lang w:val="el-GR"/>
    </w:rPr>
  </w:style>
  <w:style w:type="character" w:styleId="ListLabel3853">
    <w:name w:val="ListLabel 3853"/>
    <w:qFormat/>
    <w:rPr>
      <w:rFonts w:cs="Courier New"/>
    </w:rPr>
  </w:style>
  <w:style w:type="character" w:styleId="ListLabel3854">
    <w:name w:val="ListLabel 3854"/>
    <w:qFormat/>
    <w:rPr>
      <w:rFonts w:cs="Wingdings"/>
      <w:sz w:val="20"/>
    </w:rPr>
  </w:style>
  <w:style w:type="character" w:styleId="ListLabel3855">
    <w:name w:val="ListLabel 3855"/>
    <w:qFormat/>
    <w:rPr>
      <w:rFonts w:cs="Wingdings"/>
      <w:sz w:val="20"/>
    </w:rPr>
  </w:style>
  <w:style w:type="character" w:styleId="ListLabel3856">
    <w:name w:val="ListLabel 3856"/>
    <w:qFormat/>
    <w:rPr>
      <w:rFonts w:cs="Wingdings"/>
      <w:sz w:val="20"/>
    </w:rPr>
  </w:style>
  <w:style w:type="character" w:styleId="ListLabel3857">
    <w:name w:val="ListLabel 3857"/>
    <w:qFormat/>
    <w:rPr>
      <w:rFonts w:cs="Wingdings"/>
      <w:sz w:val="20"/>
    </w:rPr>
  </w:style>
  <w:style w:type="character" w:styleId="ListLabel3858">
    <w:name w:val="ListLabel 3858"/>
    <w:qFormat/>
    <w:rPr>
      <w:rFonts w:cs="Wingdings"/>
      <w:sz w:val="20"/>
    </w:rPr>
  </w:style>
  <w:style w:type="character" w:styleId="ListLabel3859">
    <w:name w:val="ListLabel 3859"/>
    <w:qFormat/>
    <w:rPr>
      <w:rFonts w:cs="Wingdings"/>
      <w:sz w:val="20"/>
    </w:rPr>
  </w:style>
  <w:style w:type="character" w:styleId="ListLabel3860">
    <w:name w:val="ListLabel 3860"/>
    <w:qFormat/>
    <w:rPr>
      <w:rFonts w:cs="Wingdings"/>
      <w:sz w:val="20"/>
    </w:rPr>
  </w:style>
  <w:style w:type="character" w:styleId="ListLabel3861">
    <w:name w:val="ListLabel 3861"/>
    <w:qFormat/>
    <w:rPr>
      <w:b/>
      <w:bCs/>
      <w:sz w:val="24"/>
    </w:rPr>
  </w:style>
  <w:style w:type="character" w:styleId="ListLabel3862">
    <w:name w:val="ListLabel 3862"/>
    <w:qFormat/>
    <w:rPr>
      <w:rFonts w:cs="Wingdings"/>
      <w:b/>
      <w:sz w:val="24"/>
    </w:rPr>
  </w:style>
  <w:style w:type="character" w:styleId="ListLabel3863">
    <w:name w:val="ListLabel 3863"/>
    <w:qFormat/>
    <w:rPr>
      <w:rFonts w:cs="Courier New"/>
    </w:rPr>
  </w:style>
  <w:style w:type="character" w:styleId="ListLabel3864">
    <w:name w:val="ListLabel 3864"/>
    <w:qFormat/>
    <w:rPr>
      <w:rFonts w:cs="Wingdings"/>
    </w:rPr>
  </w:style>
  <w:style w:type="character" w:styleId="ListLabel3865">
    <w:name w:val="ListLabel 3865"/>
    <w:qFormat/>
    <w:rPr>
      <w:rFonts w:cs="Symbol"/>
    </w:rPr>
  </w:style>
  <w:style w:type="character" w:styleId="ListLabel3866">
    <w:name w:val="ListLabel 3866"/>
    <w:qFormat/>
    <w:rPr>
      <w:rFonts w:cs="Courier New"/>
    </w:rPr>
  </w:style>
  <w:style w:type="character" w:styleId="ListLabel3867">
    <w:name w:val="ListLabel 3867"/>
    <w:qFormat/>
    <w:rPr>
      <w:rFonts w:cs="Wingdings"/>
    </w:rPr>
  </w:style>
  <w:style w:type="character" w:styleId="ListLabel3868">
    <w:name w:val="ListLabel 3868"/>
    <w:qFormat/>
    <w:rPr>
      <w:rFonts w:cs="Symbol"/>
    </w:rPr>
  </w:style>
  <w:style w:type="character" w:styleId="ListLabel3869">
    <w:name w:val="ListLabel 3869"/>
    <w:qFormat/>
    <w:rPr>
      <w:rFonts w:cs="Courier New"/>
    </w:rPr>
  </w:style>
  <w:style w:type="character" w:styleId="ListLabel3870">
    <w:name w:val="ListLabel 3870"/>
    <w:qFormat/>
    <w:rPr>
      <w:rFonts w:cs="Wingdings"/>
    </w:rPr>
  </w:style>
  <w:style w:type="character" w:styleId="ListLabel3871">
    <w:name w:val="ListLabel 3871"/>
    <w:qFormat/>
    <w:rPr>
      <w:rFonts w:ascii="Calibri" w:hAnsi="Calibri" w:cs="OpenSymbol"/>
      <w:b w:val="false"/>
      <w:sz w:val="24"/>
    </w:rPr>
  </w:style>
  <w:style w:type="character" w:styleId="ListLabel3872">
    <w:name w:val="ListLabel 3872"/>
    <w:qFormat/>
    <w:rPr>
      <w:rFonts w:cs="OpenSymbol"/>
    </w:rPr>
  </w:style>
  <w:style w:type="character" w:styleId="ListLabel3873">
    <w:name w:val="ListLabel 3873"/>
    <w:qFormat/>
    <w:rPr>
      <w:rFonts w:cs="OpenSymbol"/>
    </w:rPr>
  </w:style>
  <w:style w:type="character" w:styleId="ListLabel3874">
    <w:name w:val="ListLabel 3874"/>
    <w:qFormat/>
    <w:rPr>
      <w:rFonts w:cs="OpenSymbol"/>
    </w:rPr>
  </w:style>
  <w:style w:type="character" w:styleId="ListLabel3875">
    <w:name w:val="ListLabel 3875"/>
    <w:qFormat/>
    <w:rPr>
      <w:rFonts w:cs="OpenSymbol"/>
    </w:rPr>
  </w:style>
  <w:style w:type="character" w:styleId="ListLabel3876">
    <w:name w:val="ListLabel 3876"/>
    <w:qFormat/>
    <w:rPr>
      <w:rFonts w:cs="OpenSymbol"/>
    </w:rPr>
  </w:style>
  <w:style w:type="character" w:styleId="ListLabel3877">
    <w:name w:val="ListLabel 3877"/>
    <w:qFormat/>
    <w:rPr>
      <w:rFonts w:cs="OpenSymbol"/>
    </w:rPr>
  </w:style>
  <w:style w:type="character" w:styleId="ListLabel3878">
    <w:name w:val="ListLabel 3878"/>
    <w:qFormat/>
    <w:rPr>
      <w:rFonts w:cs="OpenSymbol"/>
    </w:rPr>
  </w:style>
  <w:style w:type="character" w:styleId="ListLabel3879">
    <w:name w:val="ListLabel 3879"/>
    <w:qFormat/>
    <w:rPr>
      <w:rFonts w:cs="OpenSymbol"/>
    </w:rPr>
  </w:style>
  <w:style w:type="character" w:styleId="ListLabel3880">
    <w:name w:val="ListLabel 3880"/>
    <w:qFormat/>
    <w:rPr>
      <w:rFonts w:cs="Times New Roman"/>
      <w:sz w:val="24"/>
    </w:rPr>
  </w:style>
  <w:style w:type="character" w:styleId="ListLabel3881">
    <w:name w:val="ListLabel 3881"/>
    <w:qFormat/>
    <w:rPr>
      <w:rFonts w:cs="Times New Roman"/>
    </w:rPr>
  </w:style>
  <w:style w:type="character" w:styleId="ListLabel3882">
    <w:name w:val="ListLabel 3882"/>
    <w:qFormat/>
    <w:rPr>
      <w:rFonts w:cs="Times New Roman"/>
    </w:rPr>
  </w:style>
  <w:style w:type="character" w:styleId="ListLabel3883">
    <w:name w:val="ListLabel 3883"/>
    <w:qFormat/>
    <w:rPr>
      <w:rFonts w:cs="Times New Roman"/>
    </w:rPr>
  </w:style>
  <w:style w:type="character" w:styleId="ListLabel3884">
    <w:name w:val="ListLabel 3884"/>
    <w:qFormat/>
    <w:rPr>
      <w:rFonts w:cs="Times New Roman"/>
    </w:rPr>
  </w:style>
  <w:style w:type="character" w:styleId="ListLabel3885">
    <w:name w:val="ListLabel 3885"/>
    <w:qFormat/>
    <w:rPr>
      <w:rFonts w:cs="Times New Roman"/>
    </w:rPr>
  </w:style>
  <w:style w:type="character" w:styleId="ListLabel3886">
    <w:name w:val="ListLabel 3886"/>
    <w:qFormat/>
    <w:rPr>
      <w:rFonts w:cs="Times New Roman"/>
    </w:rPr>
  </w:style>
  <w:style w:type="character" w:styleId="ListLabel3887">
    <w:name w:val="ListLabel 3887"/>
    <w:qFormat/>
    <w:rPr>
      <w:rFonts w:cs="Times New Roman"/>
    </w:rPr>
  </w:style>
  <w:style w:type="character" w:styleId="ListLabel3888">
    <w:name w:val="ListLabel 3888"/>
    <w:qFormat/>
    <w:rPr>
      <w:rFonts w:cs="Times New Roman"/>
    </w:rPr>
  </w:style>
  <w:style w:type="character" w:styleId="ListLabel3889">
    <w:name w:val="ListLabel 3889"/>
    <w:qFormat/>
    <w:rPr>
      <w:rFonts w:cs="Symbol"/>
      <w:sz w:val="24"/>
    </w:rPr>
  </w:style>
  <w:style w:type="character" w:styleId="ListLabel3890">
    <w:name w:val="ListLabel 3890"/>
    <w:qFormat/>
    <w:rPr>
      <w:rFonts w:cs="Wingdings"/>
      <w:color w:val="auto"/>
    </w:rPr>
  </w:style>
  <w:style w:type="character" w:styleId="ListLabel3891">
    <w:name w:val="ListLabel 3891"/>
    <w:qFormat/>
    <w:rPr>
      <w:rFonts w:cs="Wingdings"/>
    </w:rPr>
  </w:style>
  <w:style w:type="character" w:styleId="ListLabel3892">
    <w:name w:val="ListLabel 3892"/>
    <w:qFormat/>
    <w:rPr>
      <w:rFonts w:cs="Symbol"/>
    </w:rPr>
  </w:style>
  <w:style w:type="character" w:styleId="ListLabel3893">
    <w:name w:val="ListLabel 3893"/>
    <w:qFormat/>
    <w:rPr>
      <w:rFonts w:cs="Courier New"/>
    </w:rPr>
  </w:style>
  <w:style w:type="character" w:styleId="ListLabel3894">
    <w:name w:val="ListLabel 3894"/>
    <w:qFormat/>
    <w:rPr>
      <w:rFonts w:cs="Wingdings"/>
    </w:rPr>
  </w:style>
  <w:style w:type="character" w:styleId="ListLabel3895">
    <w:name w:val="ListLabel 3895"/>
    <w:qFormat/>
    <w:rPr>
      <w:rFonts w:cs="Symbol"/>
    </w:rPr>
  </w:style>
  <w:style w:type="character" w:styleId="ListLabel3896">
    <w:name w:val="ListLabel 3896"/>
    <w:qFormat/>
    <w:rPr>
      <w:rFonts w:cs="Wingdings"/>
    </w:rPr>
  </w:style>
  <w:style w:type="character" w:styleId="ListLabel3897">
    <w:name w:val="ListLabel 3897"/>
    <w:qFormat/>
    <w:rPr>
      <w:rFonts w:cs="Wingdings"/>
    </w:rPr>
  </w:style>
  <w:style w:type="character" w:styleId="ListLabel3898">
    <w:name w:val="ListLabel 3898"/>
    <w:qFormat/>
    <w:rPr>
      <w:rFonts w:cs="Symbol"/>
      <w:b/>
      <w:sz w:val="24"/>
    </w:rPr>
  </w:style>
  <w:style w:type="character" w:styleId="ListLabel3899">
    <w:name w:val="ListLabel 3899"/>
    <w:qFormat/>
    <w:rPr>
      <w:rFonts w:cs="Symbol"/>
      <w:b/>
      <w:sz w:val="24"/>
    </w:rPr>
  </w:style>
  <w:style w:type="character" w:styleId="ListLabel3900">
    <w:name w:val="ListLabel 3900"/>
    <w:qFormat/>
    <w:rPr>
      <w:rFonts w:cs="Symbol"/>
    </w:rPr>
  </w:style>
  <w:style w:type="character" w:styleId="ListLabel3901">
    <w:name w:val="ListLabel 3901"/>
    <w:qFormat/>
    <w:rPr>
      <w:rFonts w:cs="Wingdings"/>
    </w:rPr>
  </w:style>
  <w:style w:type="character" w:styleId="ListLabel3902">
    <w:name w:val="ListLabel 3902"/>
    <w:qFormat/>
    <w:rPr>
      <w:rFonts w:cs="Symbol"/>
    </w:rPr>
  </w:style>
  <w:style w:type="character" w:styleId="ListLabel3903">
    <w:name w:val="ListLabel 3903"/>
    <w:qFormat/>
    <w:rPr>
      <w:rFonts w:cs="Courier New"/>
    </w:rPr>
  </w:style>
  <w:style w:type="character" w:styleId="ListLabel3904">
    <w:name w:val="ListLabel 3904"/>
    <w:qFormat/>
    <w:rPr>
      <w:rFonts w:cs="Wingdings"/>
    </w:rPr>
  </w:style>
  <w:style w:type="character" w:styleId="ListLabel3905">
    <w:name w:val="ListLabel 3905"/>
    <w:qFormat/>
    <w:rPr>
      <w:rFonts w:cs="Symbol"/>
    </w:rPr>
  </w:style>
  <w:style w:type="character" w:styleId="ListLabel3906">
    <w:name w:val="ListLabel 3906"/>
    <w:qFormat/>
    <w:rPr>
      <w:rFonts w:cs="Wingdings"/>
    </w:rPr>
  </w:style>
  <w:style w:type="character" w:styleId="ListLabel3907">
    <w:name w:val="ListLabel 3907"/>
    <w:qFormat/>
    <w:rPr>
      <w:rFonts w:cs="Wingdings"/>
    </w:rPr>
  </w:style>
  <w:style w:type="character" w:styleId="ListLabel3908">
    <w:name w:val="ListLabel 3908"/>
    <w:qFormat/>
    <w:rPr>
      <w:rFonts w:cs="Symbol"/>
      <w:b/>
      <w:sz w:val="24"/>
    </w:rPr>
  </w:style>
  <w:style w:type="character" w:styleId="ListLabel3909">
    <w:name w:val="ListLabel 3909"/>
    <w:qFormat/>
    <w:rPr>
      <w:rFonts w:cs="Symbol"/>
    </w:rPr>
  </w:style>
  <w:style w:type="character" w:styleId="ListLabel3910">
    <w:name w:val="ListLabel 3910"/>
    <w:qFormat/>
    <w:rPr>
      <w:rFonts w:cs="Wingdings"/>
    </w:rPr>
  </w:style>
  <w:style w:type="character" w:styleId="ListLabel3911">
    <w:name w:val="ListLabel 3911"/>
    <w:qFormat/>
    <w:rPr>
      <w:rFonts w:cs="Symbol"/>
    </w:rPr>
  </w:style>
  <w:style w:type="character" w:styleId="ListLabel3912">
    <w:name w:val="ListLabel 3912"/>
    <w:qFormat/>
    <w:rPr>
      <w:rFonts w:cs="Courier New"/>
    </w:rPr>
  </w:style>
  <w:style w:type="character" w:styleId="ListLabel3913">
    <w:name w:val="ListLabel 3913"/>
    <w:qFormat/>
    <w:rPr>
      <w:rFonts w:cs="Wingdings"/>
    </w:rPr>
  </w:style>
  <w:style w:type="character" w:styleId="ListLabel3914">
    <w:name w:val="ListLabel 3914"/>
    <w:qFormat/>
    <w:rPr>
      <w:rFonts w:cs="Symbol"/>
    </w:rPr>
  </w:style>
  <w:style w:type="character" w:styleId="ListLabel3915">
    <w:name w:val="ListLabel 3915"/>
    <w:qFormat/>
    <w:rPr>
      <w:rFonts w:cs="Wingdings"/>
    </w:rPr>
  </w:style>
  <w:style w:type="character" w:styleId="ListLabel3916">
    <w:name w:val="ListLabel 3916"/>
    <w:qFormat/>
    <w:rPr>
      <w:rFonts w:cs="Wingdings"/>
    </w:rPr>
  </w:style>
  <w:style w:type="character" w:styleId="ListLabel3917">
    <w:name w:val="ListLabel 3917"/>
    <w:qFormat/>
    <w:rPr>
      <w:rFonts w:cs="Symbol"/>
      <w:sz w:val="24"/>
    </w:rPr>
  </w:style>
  <w:style w:type="character" w:styleId="ListLabel3918">
    <w:name w:val="ListLabel 3918"/>
    <w:qFormat/>
    <w:rPr>
      <w:rFonts w:cs="Times New Roman"/>
    </w:rPr>
  </w:style>
  <w:style w:type="character" w:styleId="ListLabel3919">
    <w:name w:val="ListLabel 3919"/>
    <w:qFormat/>
    <w:rPr>
      <w:rFonts w:cs="Wingdings"/>
    </w:rPr>
  </w:style>
  <w:style w:type="character" w:styleId="ListLabel3920">
    <w:name w:val="ListLabel 3920"/>
    <w:qFormat/>
    <w:rPr>
      <w:rFonts w:cs="Symbol"/>
    </w:rPr>
  </w:style>
  <w:style w:type="character" w:styleId="ListLabel3921">
    <w:name w:val="ListLabel 3921"/>
    <w:qFormat/>
    <w:rPr>
      <w:rFonts w:cs="Times New Roman"/>
    </w:rPr>
  </w:style>
  <w:style w:type="character" w:styleId="ListLabel3922">
    <w:name w:val="ListLabel 3922"/>
    <w:qFormat/>
    <w:rPr>
      <w:rFonts w:cs="Wingdings"/>
    </w:rPr>
  </w:style>
  <w:style w:type="character" w:styleId="ListLabel3923">
    <w:name w:val="ListLabel 3923"/>
    <w:qFormat/>
    <w:rPr>
      <w:rFonts w:cs="Symbol"/>
    </w:rPr>
  </w:style>
  <w:style w:type="character" w:styleId="ListLabel3924">
    <w:name w:val="ListLabel 3924"/>
    <w:qFormat/>
    <w:rPr>
      <w:rFonts w:cs="Times New Roman"/>
    </w:rPr>
  </w:style>
  <w:style w:type="character" w:styleId="ListLabel3925">
    <w:name w:val="ListLabel 3925"/>
    <w:qFormat/>
    <w:rPr>
      <w:rFonts w:cs="Wingdings"/>
    </w:rPr>
  </w:style>
  <w:style w:type="character" w:styleId="ListLabel3926">
    <w:name w:val="ListLabel 3926"/>
    <w:qFormat/>
    <w:rPr>
      <w:rFonts w:cs="Symbol"/>
      <w:sz w:val="24"/>
    </w:rPr>
  </w:style>
  <w:style w:type="character" w:styleId="ListLabel3927">
    <w:name w:val="ListLabel 3927"/>
    <w:qFormat/>
    <w:rPr>
      <w:rFonts w:cs="Calibri"/>
    </w:rPr>
  </w:style>
  <w:style w:type="character" w:styleId="ListLabel3928">
    <w:name w:val="ListLabel 3928"/>
    <w:qFormat/>
    <w:rPr>
      <w:rFonts w:cs="Wingdings"/>
    </w:rPr>
  </w:style>
  <w:style w:type="character" w:styleId="ListLabel3929">
    <w:name w:val="ListLabel 3929"/>
    <w:qFormat/>
    <w:rPr>
      <w:rFonts w:cs="Symbol"/>
    </w:rPr>
  </w:style>
  <w:style w:type="character" w:styleId="ListLabel3930">
    <w:name w:val="ListLabel 3930"/>
    <w:qFormat/>
    <w:rPr>
      <w:rFonts w:cs="Courier New"/>
    </w:rPr>
  </w:style>
  <w:style w:type="character" w:styleId="ListLabel3931">
    <w:name w:val="ListLabel 3931"/>
    <w:qFormat/>
    <w:rPr>
      <w:rFonts w:cs="Wingdings"/>
    </w:rPr>
  </w:style>
  <w:style w:type="character" w:styleId="ListLabel3932">
    <w:name w:val="ListLabel 3932"/>
    <w:qFormat/>
    <w:rPr>
      <w:rFonts w:cs="Symbol"/>
    </w:rPr>
  </w:style>
  <w:style w:type="character" w:styleId="ListLabel3933">
    <w:name w:val="ListLabel 3933"/>
    <w:qFormat/>
    <w:rPr>
      <w:rFonts w:cs="Wingdings"/>
    </w:rPr>
  </w:style>
  <w:style w:type="character" w:styleId="ListLabel3934">
    <w:name w:val="ListLabel 3934"/>
    <w:qFormat/>
    <w:rPr>
      <w:rFonts w:cs="Wingdings"/>
    </w:rPr>
  </w:style>
  <w:style w:type="character" w:styleId="ListLabel3935">
    <w:name w:val="ListLabel 3935"/>
    <w:qFormat/>
    <w:rPr>
      <w:rFonts w:cs="Symbol"/>
      <w:sz w:val="24"/>
    </w:rPr>
  </w:style>
  <w:style w:type="character" w:styleId="ListLabel3936">
    <w:name w:val="ListLabel 3936"/>
    <w:qFormat/>
    <w:rPr>
      <w:rFonts w:cs="Symbol"/>
    </w:rPr>
  </w:style>
  <w:style w:type="character" w:styleId="ListLabel3937">
    <w:name w:val="ListLabel 3937"/>
    <w:qFormat/>
    <w:rPr>
      <w:rFonts w:cs="Wingdings"/>
    </w:rPr>
  </w:style>
  <w:style w:type="character" w:styleId="ListLabel3938">
    <w:name w:val="ListLabel 3938"/>
    <w:qFormat/>
    <w:rPr>
      <w:rFonts w:cs="Symbol"/>
    </w:rPr>
  </w:style>
  <w:style w:type="character" w:styleId="ListLabel3939">
    <w:name w:val="ListLabel 3939"/>
    <w:qFormat/>
    <w:rPr>
      <w:rFonts w:cs="Courier New"/>
    </w:rPr>
  </w:style>
  <w:style w:type="character" w:styleId="ListLabel3940">
    <w:name w:val="ListLabel 3940"/>
    <w:qFormat/>
    <w:rPr>
      <w:rFonts w:cs="Wingdings"/>
    </w:rPr>
  </w:style>
  <w:style w:type="character" w:styleId="ListLabel3941">
    <w:name w:val="ListLabel 3941"/>
    <w:qFormat/>
    <w:rPr>
      <w:rFonts w:cs="Symbol"/>
    </w:rPr>
  </w:style>
  <w:style w:type="character" w:styleId="ListLabel3942">
    <w:name w:val="ListLabel 3942"/>
    <w:qFormat/>
    <w:rPr>
      <w:rFonts w:cs="Wingdings"/>
    </w:rPr>
  </w:style>
  <w:style w:type="character" w:styleId="ListLabel3943">
    <w:name w:val="ListLabel 3943"/>
    <w:qFormat/>
    <w:rPr>
      <w:rFonts w:cs="Wingdings"/>
    </w:rPr>
  </w:style>
  <w:style w:type="character" w:styleId="ListLabel3944">
    <w:name w:val="ListLabel 3944"/>
    <w:qFormat/>
    <w:rPr>
      <w:rFonts w:cs="Symbol"/>
      <w:sz w:val="24"/>
    </w:rPr>
  </w:style>
  <w:style w:type="character" w:styleId="ListLabel3945">
    <w:name w:val="ListLabel 3945"/>
    <w:qFormat/>
    <w:rPr>
      <w:rFonts w:cs="Courier New"/>
    </w:rPr>
  </w:style>
  <w:style w:type="character" w:styleId="ListLabel3946">
    <w:name w:val="ListLabel 3946"/>
    <w:qFormat/>
    <w:rPr>
      <w:rFonts w:cs="Wingdings"/>
    </w:rPr>
  </w:style>
  <w:style w:type="character" w:styleId="ListLabel3947">
    <w:name w:val="ListLabel 3947"/>
    <w:qFormat/>
    <w:rPr>
      <w:rFonts w:cs="Symbol"/>
    </w:rPr>
  </w:style>
  <w:style w:type="character" w:styleId="ListLabel3948">
    <w:name w:val="ListLabel 3948"/>
    <w:qFormat/>
    <w:rPr>
      <w:rFonts w:cs="Wingdings"/>
    </w:rPr>
  </w:style>
  <w:style w:type="character" w:styleId="ListLabel3949">
    <w:name w:val="ListLabel 3949"/>
    <w:qFormat/>
    <w:rPr>
      <w:rFonts w:cs="Wingdings"/>
    </w:rPr>
  </w:style>
  <w:style w:type="character" w:styleId="ListLabel3950">
    <w:name w:val="ListLabel 3950"/>
    <w:qFormat/>
    <w:rPr>
      <w:rFonts w:cs="Symbol"/>
    </w:rPr>
  </w:style>
  <w:style w:type="character" w:styleId="ListLabel3951">
    <w:name w:val="ListLabel 3951"/>
    <w:qFormat/>
    <w:rPr>
      <w:rFonts w:cs="Symbol"/>
      <w:b/>
    </w:rPr>
  </w:style>
  <w:style w:type="character" w:styleId="ListLabel3952">
    <w:name w:val="ListLabel 3952"/>
    <w:qFormat/>
    <w:rPr>
      <w:rFonts w:cs="Wingdings"/>
    </w:rPr>
  </w:style>
  <w:style w:type="character" w:styleId="ListLabel3953">
    <w:name w:val="ListLabel 3953"/>
    <w:qFormat/>
    <w:rPr>
      <w:rFonts w:cs="Symbol"/>
      <w:sz w:val="24"/>
    </w:rPr>
  </w:style>
  <w:style w:type="character" w:styleId="ListLabel3954">
    <w:name w:val="ListLabel 3954"/>
    <w:qFormat/>
    <w:rPr>
      <w:rFonts w:cs="Symbol"/>
    </w:rPr>
  </w:style>
  <w:style w:type="character" w:styleId="ListLabel3955">
    <w:name w:val="ListLabel 3955"/>
    <w:qFormat/>
    <w:rPr>
      <w:rFonts w:cs="Wingdings"/>
    </w:rPr>
  </w:style>
  <w:style w:type="character" w:styleId="ListLabel3956">
    <w:name w:val="ListLabel 3956"/>
    <w:qFormat/>
    <w:rPr>
      <w:rFonts w:cs="Symbol"/>
    </w:rPr>
  </w:style>
  <w:style w:type="character" w:styleId="ListLabel3957">
    <w:name w:val="ListLabel 3957"/>
    <w:qFormat/>
    <w:rPr>
      <w:rFonts w:cs="Courier New"/>
    </w:rPr>
  </w:style>
  <w:style w:type="character" w:styleId="ListLabel3958">
    <w:name w:val="ListLabel 3958"/>
    <w:qFormat/>
    <w:rPr>
      <w:rFonts w:cs="Wingdings"/>
    </w:rPr>
  </w:style>
  <w:style w:type="character" w:styleId="ListLabel3959">
    <w:name w:val="ListLabel 3959"/>
    <w:qFormat/>
    <w:rPr>
      <w:rFonts w:cs="Symbol"/>
    </w:rPr>
  </w:style>
  <w:style w:type="character" w:styleId="ListLabel3960">
    <w:name w:val="ListLabel 3960"/>
    <w:qFormat/>
    <w:rPr>
      <w:rFonts w:cs="Wingdings"/>
    </w:rPr>
  </w:style>
  <w:style w:type="character" w:styleId="ListLabel3961">
    <w:name w:val="ListLabel 3961"/>
    <w:qFormat/>
    <w:rPr>
      <w:rFonts w:cs="Wingdings"/>
    </w:rPr>
  </w:style>
  <w:style w:type="character" w:styleId="ListLabel3962">
    <w:name w:val="ListLabel 3962"/>
    <w:qFormat/>
    <w:rPr>
      <w:rFonts w:cs="Symbol"/>
      <w:sz w:val="24"/>
    </w:rPr>
  </w:style>
  <w:style w:type="character" w:styleId="ListLabel3963">
    <w:name w:val="ListLabel 3963"/>
    <w:qFormat/>
    <w:rPr>
      <w:rFonts w:cs="Times New Roman"/>
    </w:rPr>
  </w:style>
  <w:style w:type="character" w:styleId="ListLabel3964">
    <w:name w:val="ListLabel 3964"/>
    <w:qFormat/>
    <w:rPr>
      <w:rFonts w:cs="Wingdings"/>
    </w:rPr>
  </w:style>
  <w:style w:type="character" w:styleId="ListLabel3965">
    <w:name w:val="ListLabel 3965"/>
    <w:qFormat/>
    <w:rPr>
      <w:rFonts w:cs="Symbol"/>
    </w:rPr>
  </w:style>
  <w:style w:type="character" w:styleId="ListLabel3966">
    <w:name w:val="ListLabel 3966"/>
    <w:qFormat/>
    <w:rPr>
      <w:rFonts w:cs="Times New Roman"/>
    </w:rPr>
  </w:style>
  <w:style w:type="character" w:styleId="ListLabel3967">
    <w:name w:val="ListLabel 3967"/>
    <w:qFormat/>
    <w:rPr>
      <w:rFonts w:cs="Wingdings"/>
    </w:rPr>
  </w:style>
  <w:style w:type="character" w:styleId="ListLabel3968">
    <w:name w:val="ListLabel 3968"/>
    <w:qFormat/>
    <w:rPr>
      <w:rFonts w:cs="Symbol"/>
    </w:rPr>
  </w:style>
  <w:style w:type="character" w:styleId="ListLabel3969">
    <w:name w:val="ListLabel 3969"/>
    <w:qFormat/>
    <w:rPr>
      <w:rFonts w:cs="Times New Roman"/>
    </w:rPr>
  </w:style>
  <w:style w:type="character" w:styleId="ListLabel3970">
    <w:name w:val="ListLabel 3970"/>
    <w:qFormat/>
    <w:rPr>
      <w:rFonts w:cs="Wingdings"/>
    </w:rPr>
  </w:style>
  <w:style w:type="character" w:styleId="ListLabel3971">
    <w:name w:val="ListLabel 3971"/>
    <w:qFormat/>
    <w:rPr>
      <w:rFonts w:cs="Wingdings"/>
      <w:sz w:val="24"/>
    </w:rPr>
  </w:style>
  <w:style w:type="character" w:styleId="ListLabel3972">
    <w:name w:val="ListLabel 3972"/>
    <w:qFormat/>
    <w:rPr>
      <w:rFonts w:cs="Times New Roman"/>
    </w:rPr>
  </w:style>
  <w:style w:type="character" w:styleId="ListLabel3973">
    <w:name w:val="ListLabel 3973"/>
    <w:qFormat/>
    <w:rPr>
      <w:rFonts w:cs="Wingdings"/>
    </w:rPr>
  </w:style>
  <w:style w:type="character" w:styleId="ListLabel3974">
    <w:name w:val="ListLabel 3974"/>
    <w:qFormat/>
    <w:rPr>
      <w:rFonts w:cs="Symbol"/>
    </w:rPr>
  </w:style>
  <w:style w:type="character" w:styleId="ListLabel3975">
    <w:name w:val="ListLabel 3975"/>
    <w:qFormat/>
    <w:rPr>
      <w:rFonts w:cs="Times New Roman"/>
    </w:rPr>
  </w:style>
  <w:style w:type="character" w:styleId="ListLabel3976">
    <w:name w:val="ListLabel 3976"/>
    <w:qFormat/>
    <w:rPr>
      <w:rFonts w:cs="Wingdings"/>
    </w:rPr>
  </w:style>
  <w:style w:type="character" w:styleId="ListLabel3977">
    <w:name w:val="ListLabel 3977"/>
    <w:qFormat/>
    <w:rPr>
      <w:rFonts w:cs="Symbol"/>
    </w:rPr>
  </w:style>
  <w:style w:type="character" w:styleId="ListLabel3978">
    <w:name w:val="ListLabel 3978"/>
    <w:qFormat/>
    <w:rPr>
      <w:rFonts w:cs="Times New Roman"/>
    </w:rPr>
  </w:style>
  <w:style w:type="character" w:styleId="ListLabel3979">
    <w:name w:val="ListLabel 3979"/>
    <w:qFormat/>
    <w:rPr>
      <w:rFonts w:cs="Wingdings"/>
    </w:rPr>
  </w:style>
  <w:style w:type="character" w:styleId="ListLabel3980">
    <w:name w:val="ListLabel 3980"/>
    <w:qFormat/>
    <w:rPr>
      <w:rFonts w:ascii="Calibri" w:hAnsi="Calibri" w:cs="OpenSymbol"/>
      <w:b w:val="false"/>
      <w:sz w:val="24"/>
    </w:rPr>
  </w:style>
  <w:style w:type="character" w:styleId="ListLabel3981">
    <w:name w:val="ListLabel 3981"/>
    <w:qFormat/>
    <w:rPr>
      <w:rFonts w:cs="OpenSymbol"/>
    </w:rPr>
  </w:style>
  <w:style w:type="character" w:styleId="ListLabel3982">
    <w:name w:val="ListLabel 3982"/>
    <w:qFormat/>
    <w:rPr>
      <w:rFonts w:cs="OpenSymbol"/>
    </w:rPr>
  </w:style>
  <w:style w:type="character" w:styleId="ListLabel3983">
    <w:name w:val="ListLabel 3983"/>
    <w:qFormat/>
    <w:rPr>
      <w:rFonts w:cs="OpenSymbol"/>
    </w:rPr>
  </w:style>
  <w:style w:type="character" w:styleId="ListLabel3984">
    <w:name w:val="ListLabel 3984"/>
    <w:qFormat/>
    <w:rPr>
      <w:rFonts w:cs="OpenSymbol"/>
    </w:rPr>
  </w:style>
  <w:style w:type="character" w:styleId="ListLabel3985">
    <w:name w:val="ListLabel 3985"/>
    <w:qFormat/>
    <w:rPr>
      <w:rFonts w:cs="OpenSymbol"/>
    </w:rPr>
  </w:style>
  <w:style w:type="character" w:styleId="ListLabel3986">
    <w:name w:val="ListLabel 3986"/>
    <w:qFormat/>
    <w:rPr>
      <w:rFonts w:cs="OpenSymbol"/>
    </w:rPr>
  </w:style>
  <w:style w:type="character" w:styleId="ListLabel3987">
    <w:name w:val="ListLabel 3987"/>
    <w:qFormat/>
    <w:rPr>
      <w:rFonts w:cs="OpenSymbol"/>
    </w:rPr>
  </w:style>
  <w:style w:type="character" w:styleId="ListLabel3988">
    <w:name w:val="ListLabel 3988"/>
    <w:qFormat/>
    <w:rPr>
      <w:rFonts w:cs="OpenSymbol"/>
    </w:rPr>
  </w:style>
  <w:style w:type="character" w:styleId="ListLabel3989">
    <w:name w:val="ListLabel 3989"/>
    <w:qFormat/>
    <w:rPr>
      <w:rFonts w:ascii="Calibri" w:hAnsi="Calibri" w:cs="OpenSymbol"/>
      <w:b w:val="false"/>
      <w:sz w:val="24"/>
    </w:rPr>
  </w:style>
  <w:style w:type="character" w:styleId="ListLabel3990">
    <w:name w:val="ListLabel 3990"/>
    <w:qFormat/>
    <w:rPr>
      <w:rFonts w:cs="OpenSymbol"/>
    </w:rPr>
  </w:style>
  <w:style w:type="character" w:styleId="ListLabel3991">
    <w:name w:val="ListLabel 3991"/>
    <w:qFormat/>
    <w:rPr>
      <w:rFonts w:cs="OpenSymbol"/>
    </w:rPr>
  </w:style>
  <w:style w:type="character" w:styleId="ListLabel3992">
    <w:name w:val="ListLabel 3992"/>
    <w:qFormat/>
    <w:rPr>
      <w:rFonts w:cs="OpenSymbol"/>
    </w:rPr>
  </w:style>
  <w:style w:type="character" w:styleId="ListLabel3993">
    <w:name w:val="ListLabel 3993"/>
    <w:qFormat/>
    <w:rPr>
      <w:rFonts w:cs="OpenSymbol"/>
    </w:rPr>
  </w:style>
  <w:style w:type="character" w:styleId="ListLabel3994">
    <w:name w:val="ListLabel 3994"/>
    <w:qFormat/>
    <w:rPr>
      <w:rFonts w:cs="OpenSymbol"/>
    </w:rPr>
  </w:style>
  <w:style w:type="character" w:styleId="ListLabel3995">
    <w:name w:val="ListLabel 3995"/>
    <w:qFormat/>
    <w:rPr>
      <w:rFonts w:cs="OpenSymbol"/>
    </w:rPr>
  </w:style>
  <w:style w:type="character" w:styleId="ListLabel3996">
    <w:name w:val="ListLabel 3996"/>
    <w:qFormat/>
    <w:rPr>
      <w:rFonts w:cs="OpenSymbol"/>
    </w:rPr>
  </w:style>
  <w:style w:type="character" w:styleId="ListLabel3997">
    <w:name w:val="ListLabel 3997"/>
    <w:qFormat/>
    <w:rPr>
      <w:rFonts w:cs="OpenSymbol"/>
    </w:rPr>
  </w:style>
  <w:style w:type="character" w:styleId="ListLabel3998">
    <w:name w:val="ListLabel 3998"/>
    <w:qFormat/>
    <w:rPr>
      <w:rFonts w:eastAsia="Arial Unicode MS" w:cs="Calibri"/>
      <w:sz w:val="24"/>
      <w:lang w:val="en-US"/>
    </w:rPr>
  </w:style>
  <w:style w:type="character" w:styleId="ListLabel3999">
    <w:name w:val="ListLabel 3999"/>
    <w:qFormat/>
    <w:rPr>
      <w:sz w:val="24"/>
    </w:rPr>
  </w:style>
  <w:style w:type="character" w:styleId="ListLabel4000">
    <w:name w:val="ListLabel 4000"/>
    <w:qFormat/>
    <w:rPr>
      <w:rFonts w:eastAsia="Arial Unicode MS" w:cs="Calibri"/>
      <w:sz w:val="24"/>
    </w:rPr>
  </w:style>
  <w:style w:type="character" w:styleId="ListLabel4001">
    <w:name w:val="ListLabel 4001"/>
    <w:qFormat/>
    <w:rPr>
      <w:rFonts w:eastAsia="Arial Unicode MS" w:cs="Calibri"/>
      <w:sz w:val="24"/>
      <w:lang w:val="el-GR"/>
    </w:rPr>
  </w:style>
  <w:style w:type="character" w:styleId="ListLabel4002">
    <w:name w:val="ListLabel 4002"/>
    <w:qFormat/>
    <w:rPr>
      <w:sz w:val="24"/>
      <w:lang w:val="el-GR"/>
    </w:rPr>
  </w:style>
  <w:style w:type="character" w:styleId="ListLabel4003">
    <w:name w:val="ListLabel 4003"/>
    <w:qFormat/>
    <w:rPr>
      <w:rFonts w:eastAsia="Arial Unicode MS"/>
      <w:bCs/>
      <w:sz w:val="24"/>
      <w:lang w:val="en-US"/>
    </w:rPr>
  </w:style>
  <w:style w:type="character" w:styleId="ListLabel4004">
    <w:name w:val="ListLabel 4004"/>
    <w:qFormat/>
    <w:rPr>
      <w:rFonts w:eastAsia="Arial Unicode MS"/>
      <w:bCs/>
      <w:sz w:val="24"/>
      <w:lang w:val="el-GR"/>
    </w:rPr>
  </w:style>
  <w:style w:type="character" w:styleId="ListLabel4005">
    <w:name w:val="ListLabel 4005"/>
    <w:qFormat/>
    <w:rPr>
      <w:rFonts w:cs="Tahoma"/>
      <w:i/>
      <w:iCs/>
      <w:color w:val="auto"/>
      <w:sz w:val="24"/>
    </w:rPr>
  </w:style>
  <w:style w:type="character" w:styleId="ListLabel4006">
    <w:name w:val="ListLabel 4006"/>
    <w:qFormat/>
    <w:rPr>
      <w:rFonts w:cs="Tahoma"/>
      <w:color w:val="auto"/>
      <w:sz w:val="24"/>
      <w:lang w:val="el-GR"/>
    </w:rPr>
  </w:style>
  <w:style w:type="character" w:styleId="ListLabel4007">
    <w:name w:val="ListLabel 4007"/>
    <w:qFormat/>
    <w:rPr>
      <w:rFonts w:ascii="Calibri" w:hAnsi="Calibri" w:cs="Calibri"/>
      <w:sz w:val="24"/>
      <w:szCs w:val="24"/>
    </w:rPr>
  </w:style>
  <w:style w:type="character" w:styleId="ListLabel4008">
    <w:name w:val="ListLabel 4008"/>
    <w:qFormat/>
    <w:rPr>
      <w:rFonts w:eastAsia="Arial Unicode MS" w:cs="Calibri"/>
      <w:sz w:val="24"/>
      <w:szCs w:val="24"/>
    </w:rPr>
  </w:style>
  <w:style w:type="character" w:styleId="ListLabel4009">
    <w:name w:val="ListLabel 4009"/>
    <w:qFormat/>
    <w:rPr>
      <w:rFonts w:eastAsia="Arial Unicode MS" w:cs="Times New Roman"/>
      <w:sz w:val="24"/>
      <w:lang w:val="el-GR" w:eastAsia="el-GR"/>
    </w:rPr>
  </w:style>
  <w:style w:type="character" w:styleId="ListLabel4010">
    <w:name w:val="ListLabel 4010"/>
    <w:qFormat/>
    <w:rPr>
      <w:rFonts w:cs="Tahoma"/>
      <w:sz w:val="24"/>
      <w:lang w:eastAsia="el-GR"/>
    </w:rPr>
  </w:style>
  <w:style w:type="character" w:styleId="ListLabel4011">
    <w:name w:val="ListLabel 4011"/>
    <w:qFormat/>
    <w:rPr>
      <w:rFonts w:cs="Tahoma"/>
      <w:sz w:val="24"/>
      <w:lang w:val="el-GR" w:eastAsia="el-GR"/>
    </w:rPr>
  </w:style>
  <w:style w:type="character" w:styleId="ListLabel4012">
    <w:name w:val="ListLabel 4012"/>
    <w:qFormat/>
    <w:rPr>
      <w:rFonts w:ascii="Calibri" w:hAnsi="Calibri" w:cs="Times New Roman"/>
      <w:sz w:val="22"/>
    </w:rPr>
  </w:style>
  <w:style w:type="character" w:styleId="ListLabel4013">
    <w:name w:val="ListLabel 4013"/>
    <w:qFormat/>
    <w:rPr>
      <w:rFonts w:cs="Symbol"/>
      <w:strike/>
      <w:color w:val="0070C0"/>
      <w:kern w:val="2"/>
      <w:position w:val="0"/>
      <w:sz w:val="16"/>
      <w:sz w:val="16"/>
      <w:vertAlign w:val="baseline"/>
    </w:rPr>
  </w:style>
  <w:style w:type="character" w:styleId="ListLabel4014">
    <w:name w:val="ListLabel 4014"/>
    <w:qFormat/>
    <w:rPr>
      <w:rFonts w:cs="Calibri"/>
      <w:sz w:val="24"/>
    </w:rPr>
  </w:style>
  <w:style w:type="character" w:styleId="ListLabel4015">
    <w:name w:val="ListLabel 4015"/>
    <w:qFormat/>
    <w:rPr>
      <w:rFonts w:cs="Courier New"/>
    </w:rPr>
  </w:style>
  <w:style w:type="character" w:styleId="ListLabel4016">
    <w:name w:val="ListLabel 4016"/>
    <w:qFormat/>
    <w:rPr>
      <w:rFonts w:cs="Wingdings"/>
    </w:rPr>
  </w:style>
  <w:style w:type="character" w:styleId="ListLabel4017">
    <w:name w:val="ListLabel 4017"/>
    <w:qFormat/>
    <w:rPr>
      <w:rFonts w:cs="Symbol"/>
    </w:rPr>
  </w:style>
  <w:style w:type="character" w:styleId="ListLabel4018">
    <w:name w:val="ListLabel 4018"/>
    <w:qFormat/>
    <w:rPr>
      <w:rFonts w:cs="Courier New"/>
    </w:rPr>
  </w:style>
  <w:style w:type="character" w:styleId="ListLabel4019">
    <w:name w:val="ListLabel 4019"/>
    <w:qFormat/>
    <w:rPr>
      <w:rFonts w:cs="Wingdings"/>
    </w:rPr>
  </w:style>
  <w:style w:type="character" w:styleId="ListLabel4020">
    <w:name w:val="ListLabel 4020"/>
    <w:qFormat/>
    <w:rPr>
      <w:rFonts w:cs="Symbol"/>
    </w:rPr>
  </w:style>
  <w:style w:type="character" w:styleId="ListLabel4021">
    <w:name w:val="ListLabel 4021"/>
    <w:qFormat/>
    <w:rPr>
      <w:rFonts w:cs="Courier New"/>
    </w:rPr>
  </w:style>
  <w:style w:type="character" w:styleId="ListLabel4022">
    <w:name w:val="ListLabel 4022"/>
    <w:qFormat/>
    <w:rPr>
      <w:rFonts w:cs="Wingdings"/>
    </w:rPr>
  </w:style>
  <w:style w:type="character" w:styleId="ListLabel4023">
    <w:name w:val="ListLabel 4023"/>
    <w:qFormat/>
    <w:rPr>
      <w:rFonts w:cs="Wingdings"/>
      <w:b/>
      <w:color w:val="auto"/>
      <w:sz w:val="24"/>
    </w:rPr>
  </w:style>
  <w:style w:type="character" w:styleId="ListLabel4024">
    <w:name w:val="ListLabel 4024"/>
    <w:qFormat/>
    <w:rPr>
      <w:rFonts w:cs="Courier New"/>
    </w:rPr>
  </w:style>
  <w:style w:type="character" w:styleId="ListLabel4025">
    <w:name w:val="ListLabel 4025"/>
    <w:qFormat/>
    <w:rPr>
      <w:rFonts w:cs="Wingdings"/>
    </w:rPr>
  </w:style>
  <w:style w:type="character" w:styleId="ListLabel4026">
    <w:name w:val="ListLabel 4026"/>
    <w:qFormat/>
    <w:rPr>
      <w:rFonts w:cs="Symbol"/>
    </w:rPr>
  </w:style>
  <w:style w:type="character" w:styleId="ListLabel4027">
    <w:name w:val="ListLabel 4027"/>
    <w:qFormat/>
    <w:rPr>
      <w:rFonts w:cs="Courier New"/>
    </w:rPr>
  </w:style>
  <w:style w:type="character" w:styleId="ListLabel4028">
    <w:name w:val="ListLabel 4028"/>
    <w:qFormat/>
    <w:rPr>
      <w:rFonts w:cs="Wingdings"/>
    </w:rPr>
  </w:style>
  <w:style w:type="character" w:styleId="ListLabel4029">
    <w:name w:val="ListLabel 4029"/>
    <w:qFormat/>
    <w:rPr>
      <w:rFonts w:cs="Symbol"/>
    </w:rPr>
  </w:style>
  <w:style w:type="character" w:styleId="ListLabel4030">
    <w:name w:val="ListLabel 4030"/>
    <w:qFormat/>
    <w:rPr>
      <w:rFonts w:cs="Courier New"/>
    </w:rPr>
  </w:style>
  <w:style w:type="character" w:styleId="ListLabel4031">
    <w:name w:val="ListLabel 4031"/>
    <w:qFormat/>
    <w:rPr>
      <w:rFonts w:cs="Wingdings"/>
    </w:rPr>
  </w:style>
  <w:style w:type="character" w:styleId="ListLabel4032">
    <w:name w:val="ListLabel 4032"/>
    <w:qFormat/>
    <w:rPr>
      <w:rFonts w:cs="Times New Roman"/>
    </w:rPr>
  </w:style>
  <w:style w:type="character" w:styleId="ListLabel4033">
    <w:name w:val="ListLabel 4033"/>
    <w:qFormat/>
    <w:rPr>
      <w:rFonts w:cs="Times New Roman"/>
    </w:rPr>
  </w:style>
  <w:style w:type="character" w:styleId="ListLabel4034">
    <w:name w:val="ListLabel 4034"/>
    <w:qFormat/>
    <w:rPr>
      <w:rFonts w:cs="Times New Roman"/>
    </w:rPr>
  </w:style>
  <w:style w:type="character" w:styleId="ListLabel4035">
    <w:name w:val="ListLabel 4035"/>
    <w:qFormat/>
    <w:rPr>
      <w:rFonts w:cs="Times New Roman"/>
    </w:rPr>
  </w:style>
  <w:style w:type="character" w:styleId="ListLabel4036">
    <w:name w:val="ListLabel 4036"/>
    <w:qFormat/>
    <w:rPr>
      <w:rFonts w:cs="Times New Roman"/>
    </w:rPr>
  </w:style>
  <w:style w:type="character" w:styleId="ListLabel4037">
    <w:name w:val="ListLabel 4037"/>
    <w:qFormat/>
    <w:rPr>
      <w:rFonts w:cs="Times New Roman"/>
    </w:rPr>
  </w:style>
  <w:style w:type="character" w:styleId="ListLabel4038">
    <w:name w:val="ListLabel 4038"/>
    <w:qFormat/>
    <w:rPr>
      <w:rFonts w:cs="Times New Roman"/>
    </w:rPr>
  </w:style>
  <w:style w:type="character" w:styleId="ListLabel4039">
    <w:name w:val="ListLabel 4039"/>
    <w:qFormat/>
    <w:rPr>
      <w:rFonts w:cs="Times New Roman"/>
    </w:rPr>
  </w:style>
  <w:style w:type="character" w:styleId="ListLabel4040">
    <w:name w:val="ListLabel 4040"/>
    <w:qFormat/>
    <w:rPr>
      <w:rFonts w:cs="Times New Roman"/>
    </w:rPr>
  </w:style>
  <w:style w:type="character" w:styleId="ListLabel4041">
    <w:name w:val="ListLabel 4041"/>
    <w:qFormat/>
    <w:rPr>
      <w:rFonts w:cs="Symbol"/>
      <w:b/>
      <w:sz w:val="24"/>
    </w:rPr>
  </w:style>
  <w:style w:type="character" w:styleId="ListLabel4042">
    <w:name w:val="ListLabel 4042"/>
    <w:qFormat/>
    <w:rPr>
      <w:rFonts w:cs="Courier New"/>
    </w:rPr>
  </w:style>
  <w:style w:type="character" w:styleId="ListLabel4043">
    <w:name w:val="ListLabel 4043"/>
    <w:qFormat/>
    <w:rPr>
      <w:rFonts w:cs="Wingdings"/>
    </w:rPr>
  </w:style>
  <w:style w:type="character" w:styleId="ListLabel4044">
    <w:name w:val="ListLabel 4044"/>
    <w:qFormat/>
    <w:rPr>
      <w:rFonts w:cs="Symbol"/>
    </w:rPr>
  </w:style>
  <w:style w:type="character" w:styleId="ListLabel4045">
    <w:name w:val="ListLabel 4045"/>
    <w:qFormat/>
    <w:rPr>
      <w:rFonts w:cs="Courier New"/>
    </w:rPr>
  </w:style>
  <w:style w:type="character" w:styleId="ListLabel4046">
    <w:name w:val="ListLabel 4046"/>
    <w:qFormat/>
    <w:rPr>
      <w:rFonts w:cs="Wingdings"/>
    </w:rPr>
  </w:style>
  <w:style w:type="character" w:styleId="ListLabel4047">
    <w:name w:val="ListLabel 4047"/>
    <w:qFormat/>
    <w:rPr>
      <w:rFonts w:cs="Symbol"/>
    </w:rPr>
  </w:style>
  <w:style w:type="character" w:styleId="ListLabel4048">
    <w:name w:val="ListLabel 4048"/>
    <w:qFormat/>
    <w:rPr>
      <w:rFonts w:cs="Courier New"/>
    </w:rPr>
  </w:style>
  <w:style w:type="character" w:styleId="ListLabel4049">
    <w:name w:val="ListLabel 4049"/>
    <w:qFormat/>
    <w:rPr>
      <w:rFonts w:cs="Wingdings"/>
    </w:rPr>
  </w:style>
  <w:style w:type="character" w:styleId="ListLabel4050">
    <w:name w:val="ListLabel 4050"/>
    <w:qFormat/>
    <w:rPr>
      <w:rFonts w:cs="Symbol"/>
      <w:strike/>
      <w:color w:val="0070C0"/>
      <w:kern w:val="2"/>
      <w:position w:val="0"/>
      <w:sz w:val="24"/>
      <w:sz w:val="24"/>
      <w:vertAlign w:val="baseline"/>
      <w:lang w:val="el-GR"/>
    </w:rPr>
  </w:style>
  <w:style w:type="character" w:styleId="ListLabel4051">
    <w:name w:val="ListLabel 4051"/>
    <w:qFormat/>
    <w:rPr>
      <w:rFonts w:cs="Courier New"/>
    </w:rPr>
  </w:style>
  <w:style w:type="character" w:styleId="ListLabel4052">
    <w:name w:val="ListLabel 4052"/>
    <w:qFormat/>
    <w:rPr>
      <w:rFonts w:cs="Wingdings"/>
      <w:sz w:val="20"/>
    </w:rPr>
  </w:style>
  <w:style w:type="character" w:styleId="ListLabel4053">
    <w:name w:val="ListLabel 4053"/>
    <w:qFormat/>
    <w:rPr>
      <w:rFonts w:cs="Wingdings"/>
      <w:sz w:val="20"/>
    </w:rPr>
  </w:style>
  <w:style w:type="character" w:styleId="ListLabel4054">
    <w:name w:val="ListLabel 4054"/>
    <w:qFormat/>
    <w:rPr>
      <w:rFonts w:cs="Wingdings"/>
      <w:sz w:val="20"/>
    </w:rPr>
  </w:style>
  <w:style w:type="character" w:styleId="ListLabel4055">
    <w:name w:val="ListLabel 4055"/>
    <w:qFormat/>
    <w:rPr>
      <w:rFonts w:cs="Wingdings"/>
      <w:sz w:val="20"/>
    </w:rPr>
  </w:style>
  <w:style w:type="character" w:styleId="ListLabel4056">
    <w:name w:val="ListLabel 4056"/>
    <w:qFormat/>
    <w:rPr>
      <w:rFonts w:cs="Wingdings"/>
      <w:sz w:val="20"/>
    </w:rPr>
  </w:style>
  <w:style w:type="character" w:styleId="ListLabel4057">
    <w:name w:val="ListLabel 4057"/>
    <w:qFormat/>
    <w:rPr>
      <w:rFonts w:cs="Wingdings"/>
      <w:sz w:val="20"/>
    </w:rPr>
  </w:style>
  <w:style w:type="character" w:styleId="ListLabel4058">
    <w:name w:val="ListLabel 4058"/>
    <w:qFormat/>
    <w:rPr>
      <w:rFonts w:cs="Wingdings"/>
      <w:sz w:val="20"/>
    </w:rPr>
  </w:style>
  <w:style w:type="character" w:styleId="ListLabel4059">
    <w:name w:val="ListLabel 4059"/>
    <w:qFormat/>
    <w:rPr>
      <w:b/>
      <w:bCs/>
      <w:sz w:val="24"/>
    </w:rPr>
  </w:style>
  <w:style w:type="character" w:styleId="ListLabel4060">
    <w:name w:val="ListLabel 4060"/>
    <w:qFormat/>
    <w:rPr>
      <w:rFonts w:cs="Wingdings"/>
      <w:b/>
      <w:sz w:val="24"/>
    </w:rPr>
  </w:style>
  <w:style w:type="character" w:styleId="ListLabel4061">
    <w:name w:val="ListLabel 4061"/>
    <w:qFormat/>
    <w:rPr>
      <w:rFonts w:cs="Courier New"/>
    </w:rPr>
  </w:style>
  <w:style w:type="character" w:styleId="ListLabel4062">
    <w:name w:val="ListLabel 4062"/>
    <w:qFormat/>
    <w:rPr>
      <w:rFonts w:cs="Wingdings"/>
    </w:rPr>
  </w:style>
  <w:style w:type="character" w:styleId="ListLabel4063">
    <w:name w:val="ListLabel 4063"/>
    <w:qFormat/>
    <w:rPr>
      <w:rFonts w:cs="Symbol"/>
    </w:rPr>
  </w:style>
  <w:style w:type="character" w:styleId="ListLabel4064">
    <w:name w:val="ListLabel 4064"/>
    <w:qFormat/>
    <w:rPr>
      <w:rFonts w:cs="Courier New"/>
    </w:rPr>
  </w:style>
  <w:style w:type="character" w:styleId="ListLabel4065">
    <w:name w:val="ListLabel 4065"/>
    <w:qFormat/>
    <w:rPr>
      <w:rFonts w:cs="Wingdings"/>
    </w:rPr>
  </w:style>
  <w:style w:type="character" w:styleId="ListLabel4066">
    <w:name w:val="ListLabel 4066"/>
    <w:qFormat/>
    <w:rPr>
      <w:rFonts w:cs="Symbol"/>
    </w:rPr>
  </w:style>
  <w:style w:type="character" w:styleId="ListLabel4067">
    <w:name w:val="ListLabel 4067"/>
    <w:qFormat/>
    <w:rPr>
      <w:rFonts w:cs="Courier New"/>
    </w:rPr>
  </w:style>
  <w:style w:type="character" w:styleId="ListLabel4068">
    <w:name w:val="ListLabel 4068"/>
    <w:qFormat/>
    <w:rPr>
      <w:rFonts w:cs="Wingdings"/>
    </w:rPr>
  </w:style>
  <w:style w:type="character" w:styleId="ListLabel4069">
    <w:name w:val="ListLabel 4069"/>
    <w:qFormat/>
    <w:rPr>
      <w:rFonts w:ascii="Calibri" w:hAnsi="Calibri" w:cs="OpenSymbol"/>
      <w:b w:val="false"/>
      <w:sz w:val="24"/>
    </w:rPr>
  </w:style>
  <w:style w:type="character" w:styleId="ListLabel4070">
    <w:name w:val="ListLabel 4070"/>
    <w:qFormat/>
    <w:rPr>
      <w:rFonts w:cs="OpenSymbol"/>
    </w:rPr>
  </w:style>
  <w:style w:type="character" w:styleId="ListLabel4071">
    <w:name w:val="ListLabel 4071"/>
    <w:qFormat/>
    <w:rPr>
      <w:rFonts w:cs="OpenSymbol"/>
    </w:rPr>
  </w:style>
  <w:style w:type="character" w:styleId="ListLabel4072">
    <w:name w:val="ListLabel 4072"/>
    <w:qFormat/>
    <w:rPr>
      <w:rFonts w:cs="OpenSymbol"/>
    </w:rPr>
  </w:style>
  <w:style w:type="character" w:styleId="ListLabel4073">
    <w:name w:val="ListLabel 4073"/>
    <w:qFormat/>
    <w:rPr>
      <w:rFonts w:cs="OpenSymbol"/>
    </w:rPr>
  </w:style>
  <w:style w:type="character" w:styleId="ListLabel4074">
    <w:name w:val="ListLabel 4074"/>
    <w:qFormat/>
    <w:rPr>
      <w:rFonts w:cs="OpenSymbol"/>
    </w:rPr>
  </w:style>
  <w:style w:type="character" w:styleId="ListLabel4075">
    <w:name w:val="ListLabel 4075"/>
    <w:qFormat/>
    <w:rPr>
      <w:rFonts w:cs="OpenSymbol"/>
    </w:rPr>
  </w:style>
  <w:style w:type="character" w:styleId="ListLabel4076">
    <w:name w:val="ListLabel 4076"/>
    <w:qFormat/>
    <w:rPr>
      <w:rFonts w:cs="OpenSymbol"/>
    </w:rPr>
  </w:style>
  <w:style w:type="character" w:styleId="ListLabel4077">
    <w:name w:val="ListLabel 4077"/>
    <w:qFormat/>
    <w:rPr>
      <w:rFonts w:cs="OpenSymbol"/>
    </w:rPr>
  </w:style>
  <w:style w:type="character" w:styleId="ListLabel4078">
    <w:name w:val="ListLabel 4078"/>
    <w:qFormat/>
    <w:rPr>
      <w:rFonts w:cs="Times New Roman"/>
      <w:sz w:val="24"/>
    </w:rPr>
  </w:style>
  <w:style w:type="character" w:styleId="ListLabel4079">
    <w:name w:val="ListLabel 4079"/>
    <w:qFormat/>
    <w:rPr>
      <w:rFonts w:cs="Times New Roman"/>
    </w:rPr>
  </w:style>
  <w:style w:type="character" w:styleId="ListLabel4080">
    <w:name w:val="ListLabel 4080"/>
    <w:qFormat/>
    <w:rPr>
      <w:rFonts w:cs="Times New Roman"/>
    </w:rPr>
  </w:style>
  <w:style w:type="character" w:styleId="ListLabel4081">
    <w:name w:val="ListLabel 4081"/>
    <w:qFormat/>
    <w:rPr>
      <w:rFonts w:cs="Times New Roman"/>
    </w:rPr>
  </w:style>
  <w:style w:type="character" w:styleId="ListLabel4082">
    <w:name w:val="ListLabel 4082"/>
    <w:qFormat/>
    <w:rPr>
      <w:rFonts w:cs="Times New Roman"/>
    </w:rPr>
  </w:style>
  <w:style w:type="character" w:styleId="ListLabel4083">
    <w:name w:val="ListLabel 4083"/>
    <w:qFormat/>
    <w:rPr>
      <w:rFonts w:cs="Times New Roman"/>
    </w:rPr>
  </w:style>
  <w:style w:type="character" w:styleId="ListLabel4084">
    <w:name w:val="ListLabel 4084"/>
    <w:qFormat/>
    <w:rPr>
      <w:rFonts w:cs="Times New Roman"/>
    </w:rPr>
  </w:style>
  <w:style w:type="character" w:styleId="ListLabel4085">
    <w:name w:val="ListLabel 4085"/>
    <w:qFormat/>
    <w:rPr>
      <w:rFonts w:cs="Times New Roman"/>
    </w:rPr>
  </w:style>
  <w:style w:type="character" w:styleId="ListLabel4086">
    <w:name w:val="ListLabel 4086"/>
    <w:qFormat/>
    <w:rPr>
      <w:rFonts w:cs="Times New Roman"/>
    </w:rPr>
  </w:style>
  <w:style w:type="character" w:styleId="ListLabel4087">
    <w:name w:val="ListLabel 4087"/>
    <w:qFormat/>
    <w:rPr>
      <w:rFonts w:cs="Symbol"/>
      <w:sz w:val="24"/>
    </w:rPr>
  </w:style>
  <w:style w:type="character" w:styleId="ListLabel4088">
    <w:name w:val="ListLabel 4088"/>
    <w:qFormat/>
    <w:rPr>
      <w:rFonts w:cs="Wingdings"/>
      <w:color w:val="auto"/>
    </w:rPr>
  </w:style>
  <w:style w:type="character" w:styleId="ListLabel4089">
    <w:name w:val="ListLabel 4089"/>
    <w:qFormat/>
    <w:rPr>
      <w:rFonts w:cs="Wingdings"/>
    </w:rPr>
  </w:style>
  <w:style w:type="character" w:styleId="ListLabel4090">
    <w:name w:val="ListLabel 4090"/>
    <w:qFormat/>
    <w:rPr>
      <w:rFonts w:cs="Symbol"/>
    </w:rPr>
  </w:style>
  <w:style w:type="character" w:styleId="ListLabel4091">
    <w:name w:val="ListLabel 4091"/>
    <w:qFormat/>
    <w:rPr>
      <w:rFonts w:cs="Courier New"/>
    </w:rPr>
  </w:style>
  <w:style w:type="character" w:styleId="ListLabel4092">
    <w:name w:val="ListLabel 4092"/>
    <w:qFormat/>
    <w:rPr>
      <w:rFonts w:cs="Wingdings"/>
    </w:rPr>
  </w:style>
  <w:style w:type="character" w:styleId="ListLabel4093">
    <w:name w:val="ListLabel 4093"/>
    <w:qFormat/>
    <w:rPr>
      <w:rFonts w:cs="Symbol"/>
    </w:rPr>
  </w:style>
  <w:style w:type="character" w:styleId="ListLabel4094">
    <w:name w:val="ListLabel 4094"/>
    <w:qFormat/>
    <w:rPr>
      <w:rFonts w:cs="Wingdings"/>
    </w:rPr>
  </w:style>
  <w:style w:type="character" w:styleId="ListLabel4095">
    <w:name w:val="ListLabel 4095"/>
    <w:qFormat/>
    <w:rPr>
      <w:rFonts w:cs="Wingdings"/>
    </w:rPr>
  </w:style>
  <w:style w:type="character" w:styleId="ListLabel4096">
    <w:name w:val="ListLabel 4096"/>
    <w:qFormat/>
    <w:rPr>
      <w:rFonts w:cs="Symbol"/>
      <w:b/>
      <w:sz w:val="24"/>
    </w:rPr>
  </w:style>
  <w:style w:type="character" w:styleId="ListLabel4097">
    <w:name w:val="ListLabel 4097"/>
    <w:qFormat/>
    <w:rPr>
      <w:rFonts w:cs="Symbol"/>
      <w:b/>
      <w:sz w:val="24"/>
    </w:rPr>
  </w:style>
  <w:style w:type="character" w:styleId="ListLabel4098">
    <w:name w:val="ListLabel 4098"/>
    <w:qFormat/>
    <w:rPr>
      <w:rFonts w:cs="Symbol"/>
    </w:rPr>
  </w:style>
  <w:style w:type="character" w:styleId="ListLabel4099">
    <w:name w:val="ListLabel 4099"/>
    <w:qFormat/>
    <w:rPr>
      <w:rFonts w:cs="Wingdings"/>
    </w:rPr>
  </w:style>
  <w:style w:type="character" w:styleId="ListLabel4100">
    <w:name w:val="ListLabel 4100"/>
    <w:qFormat/>
    <w:rPr>
      <w:rFonts w:cs="Symbol"/>
    </w:rPr>
  </w:style>
  <w:style w:type="character" w:styleId="ListLabel4101">
    <w:name w:val="ListLabel 4101"/>
    <w:qFormat/>
    <w:rPr>
      <w:rFonts w:cs="Courier New"/>
    </w:rPr>
  </w:style>
  <w:style w:type="character" w:styleId="ListLabel4102">
    <w:name w:val="ListLabel 4102"/>
    <w:qFormat/>
    <w:rPr>
      <w:rFonts w:cs="Wingdings"/>
    </w:rPr>
  </w:style>
  <w:style w:type="character" w:styleId="ListLabel4103">
    <w:name w:val="ListLabel 4103"/>
    <w:qFormat/>
    <w:rPr>
      <w:rFonts w:cs="Symbol"/>
    </w:rPr>
  </w:style>
  <w:style w:type="character" w:styleId="ListLabel4104">
    <w:name w:val="ListLabel 4104"/>
    <w:qFormat/>
    <w:rPr>
      <w:rFonts w:cs="Wingdings"/>
    </w:rPr>
  </w:style>
  <w:style w:type="character" w:styleId="ListLabel4105">
    <w:name w:val="ListLabel 4105"/>
    <w:qFormat/>
    <w:rPr>
      <w:rFonts w:cs="Wingdings"/>
    </w:rPr>
  </w:style>
  <w:style w:type="character" w:styleId="ListLabel4106">
    <w:name w:val="ListLabel 4106"/>
    <w:qFormat/>
    <w:rPr>
      <w:rFonts w:cs="Symbol"/>
      <w:b/>
      <w:sz w:val="24"/>
    </w:rPr>
  </w:style>
  <w:style w:type="character" w:styleId="ListLabel4107">
    <w:name w:val="ListLabel 4107"/>
    <w:qFormat/>
    <w:rPr>
      <w:rFonts w:cs="Symbol"/>
    </w:rPr>
  </w:style>
  <w:style w:type="character" w:styleId="ListLabel4108">
    <w:name w:val="ListLabel 4108"/>
    <w:qFormat/>
    <w:rPr>
      <w:rFonts w:cs="Wingdings"/>
    </w:rPr>
  </w:style>
  <w:style w:type="character" w:styleId="ListLabel4109">
    <w:name w:val="ListLabel 4109"/>
    <w:qFormat/>
    <w:rPr>
      <w:rFonts w:cs="Symbol"/>
    </w:rPr>
  </w:style>
  <w:style w:type="character" w:styleId="ListLabel4110">
    <w:name w:val="ListLabel 4110"/>
    <w:qFormat/>
    <w:rPr>
      <w:rFonts w:cs="Courier New"/>
    </w:rPr>
  </w:style>
  <w:style w:type="character" w:styleId="ListLabel4111">
    <w:name w:val="ListLabel 4111"/>
    <w:qFormat/>
    <w:rPr>
      <w:rFonts w:cs="Wingdings"/>
    </w:rPr>
  </w:style>
  <w:style w:type="character" w:styleId="ListLabel4112">
    <w:name w:val="ListLabel 4112"/>
    <w:qFormat/>
    <w:rPr>
      <w:rFonts w:cs="Symbol"/>
    </w:rPr>
  </w:style>
  <w:style w:type="character" w:styleId="ListLabel4113">
    <w:name w:val="ListLabel 4113"/>
    <w:qFormat/>
    <w:rPr>
      <w:rFonts w:cs="Wingdings"/>
    </w:rPr>
  </w:style>
  <w:style w:type="character" w:styleId="ListLabel4114">
    <w:name w:val="ListLabel 4114"/>
    <w:qFormat/>
    <w:rPr>
      <w:rFonts w:cs="Wingdings"/>
    </w:rPr>
  </w:style>
  <w:style w:type="character" w:styleId="ListLabel4115">
    <w:name w:val="ListLabel 4115"/>
    <w:qFormat/>
    <w:rPr>
      <w:rFonts w:cs="Symbol"/>
      <w:sz w:val="24"/>
    </w:rPr>
  </w:style>
  <w:style w:type="character" w:styleId="ListLabel4116">
    <w:name w:val="ListLabel 4116"/>
    <w:qFormat/>
    <w:rPr>
      <w:rFonts w:cs="Times New Roman"/>
    </w:rPr>
  </w:style>
  <w:style w:type="character" w:styleId="ListLabel4117">
    <w:name w:val="ListLabel 4117"/>
    <w:qFormat/>
    <w:rPr>
      <w:rFonts w:cs="Wingdings"/>
    </w:rPr>
  </w:style>
  <w:style w:type="character" w:styleId="ListLabel4118">
    <w:name w:val="ListLabel 4118"/>
    <w:qFormat/>
    <w:rPr>
      <w:rFonts w:cs="Symbol"/>
    </w:rPr>
  </w:style>
  <w:style w:type="character" w:styleId="ListLabel4119">
    <w:name w:val="ListLabel 4119"/>
    <w:qFormat/>
    <w:rPr>
      <w:rFonts w:cs="Times New Roman"/>
    </w:rPr>
  </w:style>
  <w:style w:type="character" w:styleId="ListLabel4120">
    <w:name w:val="ListLabel 4120"/>
    <w:qFormat/>
    <w:rPr>
      <w:rFonts w:cs="Wingdings"/>
    </w:rPr>
  </w:style>
  <w:style w:type="character" w:styleId="ListLabel4121">
    <w:name w:val="ListLabel 4121"/>
    <w:qFormat/>
    <w:rPr>
      <w:rFonts w:cs="Symbol"/>
    </w:rPr>
  </w:style>
  <w:style w:type="character" w:styleId="ListLabel4122">
    <w:name w:val="ListLabel 4122"/>
    <w:qFormat/>
    <w:rPr>
      <w:rFonts w:cs="Times New Roman"/>
    </w:rPr>
  </w:style>
  <w:style w:type="character" w:styleId="ListLabel4123">
    <w:name w:val="ListLabel 4123"/>
    <w:qFormat/>
    <w:rPr>
      <w:rFonts w:cs="Wingdings"/>
    </w:rPr>
  </w:style>
  <w:style w:type="character" w:styleId="ListLabel4124">
    <w:name w:val="ListLabel 4124"/>
    <w:qFormat/>
    <w:rPr>
      <w:rFonts w:cs="Symbol"/>
      <w:sz w:val="24"/>
    </w:rPr>
  </w:style>
  <w:style w:type="character" w:styleId="ListLabel4125">
    <w:name w:val="ListLabel 4125"/>
    <w:qFormat/>
    <w:rPr>
      <w:rFonts w:cs="Calibri"/>
    </w:rPr>
  </w:style>
  <w:style w:type="character" w:styleId="ListLabel4126">
    <w:name w:val="ListLabel 4126"/>
    <w:qFormat/>
    <w:rPr>
      <w:rFonts w:cs="Wingdings"/>
    </w:rPr>
  </w:style>
  <w:style w:type="character" w:styleId="ListLabel4127">
    <w:name w:val="ListLabel 4127"/>
    <w:qFormat/>
    <w:rPr>
      <w:rFonts w:cs="Symbol"/>
    </w:rPr>
  </w:style>
  <w:style w:type="character" w:styleId="ListLabel4128">
    <w:name w:val="ListLabel 4128"/>
    <w:qFormat/>
    <w:rPr>
      <w:rFonts w:cs="Courier New"/>
    </w:rPr>
  </w:style>
  <w:style w:type="character" w:styleId="ListLabel4129">
    <w:name w:val="ListLabel 4129"/>
    <w:qFormat/>
    <w:rPr>
      <w:rFonts w:cs="Wingdings"/>
    </w:rPr>
  </w:style>
  <w:style w:type="character" w:styleId="ListLabel4130">
    <w:name w:val="ListLabel 4130"/>
    <w:qFormat/>
    <w:rPr>
      <w:rFonts w:cs="Symbol"/>
    </w:rPr>
  </w:style>
  <w:style w:type="character" w:styleId="ListLabel4131">
    <w:name w:val="ListLabel 4131"/>
    <w:qFormat/>
    <w:rPr>
      <w:rFonts w:cs="Wingdings"/>
    </w:rPr>
  </w:style>
  <w:style w:type="character" w:styleId="ListLabel4132">
    <w:name w:val="ListLabel 4132"/>
    <w:qFormat/>
    <w:rPr>
      <w:rFonts w:cs="Wingdings"/>
    </w:rPr>
  </w:style>
  <w:style w:type="character" w:styleId="ListLabel4133">
    <w:name w:val="ListLabel 4133"/>
    <w:qFormat/>
    <w:rPr>
      <w:rFonts w:cs="Symbol"/>
      <w:sz w:val="24"/>
    </w:rPr>
  </w:style>
  <w:style w:type="character" w:styleId="ListLabel4134">
    <w:name w:val="ListLabel 4134"/>
    <w:qFormat/>
    <w:rPr>
      <w:rFonts w:cs="Symbol"/>
    </w:rPr>
  </w:style>
  <w:style w:type="character" w:styleId="ListLabel4135">
    <w:name w:val="ListLabel 4135"/>
    <w:qFormat/>
    <w:rPr>
      <w:rFonts w:cs="Wingdings"/>
    </w:rPr>
  </w:style>
  <w:style w:type="character" w:styleId="ListLabel4136">
    <w:name w:val="ListLabel 4136"/>
    <w:qFormat/>
    <w:rPr>
      <w:rFonts w:cs="Symbol"/>
    </w:rPr>
  </w:style>
  <w:style w:type="character" w:styleId="ListLabel4137">
    <w:name w:val="ListLabel 4137"/>
    <w:qFormat/>
    <w:rPr>
      <w:rFonts w:cs="Courier New"/>
    </w:rPr>
  </w:style>
  <w:style w:type="character" w:styleId="ListLabel4138">
    <w:name w:val="ListLabel 4138"/>
    <w:qFormat/>
    <w:rPr>
      <w:rFonts w:cs="Wingdings"/>
    </w:rPr>
  </w:style>
  <w:style w:type="character" w:styleId="ListLabel4139">
    <w:name w:val="ListLabel 4139"/>
    <w:qFormat/>
    <w:rPr>
      <w:rFonts w:cs="Symbol"/>
    </w:rPr>
  </w:style>
  <w:style w:type="character" w:styleId="ListLabel4140">
    <w:name w:val="ListLabel 4140"/>
    <w:qFormat/>
    <w:rPr>
      <w:rFonts w:cs="Wingdings"/>
    </w:rPr>
  </w:style>
  <w:style w:type="character" w:styleId="ListLabel4141">
    <w:name w:val="ListLabel 4141"/>
    <w:qFormat/>
    <w:rPr>
      <w:rFonts w:cs="Wingdings"/>
    </w:rPr>
  </w:style>
  <w:style w:type="character" w:styleId="ListLabel4142">
    <w:name w:val="ListLabel 4142"/>
    <w:qFormat/>
    <w:rPr>
      <w:rFonts w:cs="Symbol"/>
      <w:sz w:val="24"/>
    </w:rPr>
  </w:style>
  <w:style w:type="character" w:styleId="ListLabel4143">
    <w:name w:val="ListLabel 4143"/>
    <w:qFormat/>
    <w:rPr>
      <w:rFonts w:cs="Courier New"/>
    </w:rPr>
  </w:style>
  <w:style w:type="character" w:styleId="ListLabel4144">
    <w:name w:val="ListLabel 4144"/>
    <w:qFormat/>
    <w:rPr>
      <w:rFonts w:cs="Wingdings"/>
    </w:rPr>
  </w:style>
  <w:style w:type="character" w:styleId="ListLabel4145">
    <w:name w:val="ListLabel 4145"/>
    <w:qFormat/>
    <w:rPr>
      <w:rFonts w:cs="Symbol"/>
    </w:rPr>
  </w:style>
  <w:style w:type="character" w:styleId="ListLabel4146">
    <w:name w:val="ListLabel 4146"/>
    <w:qFormat/>
    <w:rPr>
      <w:rFonts w:cs="Wingdings"/>
    </w:rPr>
  </w:style>
  <w:style w:type="character" w:styleId="ListLabel4147">
    <w:name w:val="ListLabel 4147"/>
    <w:qFormat/>
    <w:rPr>
      <w:rFonts w:cs="Wingdings"/>
    </w:rPr>
  </w:style>
  <w:style w:type="character" w:styleId="ListLabel4148">
    <w:name w:val="ListLabel 4148"/>
    <w:qFormat/>
    <w:rPr>
      <w:rFonts w:cs="Symbol"/>
    </w:rPr>
  </w:style>
  <w:style w:type="character" w:styleId="ListLabel4149">
    <w:name w:val="ListLabel 4149"/>
    <w:qFormat/>
    <w:rPr>
      <w:rFonts w:cs="Symbol"/>
      <w:b/>
    </w:rPr>
  </w:style>
  <w:style w:type="character" w:styleId="ListLabel4150">
    <w:name w:val="ListLabel 4150"/>
    <w:qFormat/>
    <w:rPr>
      <w:rFonts w:cs="Wingdings"/>
    </w:rPr>
  </w:style>
  <w:style w:type="character" w:styleId="ListLabel4151">
    <w:name w:val="ListLabel 4151"/>
    <w:qFormat/>
    <w:rPr>
      <w:rFonts w:cs="Symbol"/>
      <w:sz w:val="24"/>
    </w:rPr>
  </w:style>
  <w:style w:type="character" w:styleId="ListLabel4152">
    <w:name w:val="ListLabel 4152"/>
    <w:qFormat/>
    <w:rPr>
      <w:rFonts w:cs="Symbol"/>
    </w:rPr>
  </w:style>
  <w:style w:type="character" w:styleId="ListLabel4153">
    <w:name w:val="ListLabel 4153"/>
    <w:qFormat/>
    <w:rPr>
      <w:rFonts w:cs="Wingdings"/>
    </w:rPr>
  </w:style>
  <w:style w:type="character" w:styleId="ListLabel4154">
    <w:name w:val="ListLabel 4154"/>
    <w:qFormat/>
    <w:rPr>
      <w:rFonts w:cs="Symbol"/>
    </w:rPr>
  </w:style>
  <w:style w:type="character" w:styleId="ListLabel4155">
    <w:name w:val="ListLabel 4155"/>
    <w:qFormat/>
    <w:rPr>
      <w:rFonts w:cs="Courier New"/>
    </w:rPr>
  </w:style>
  <w:style w:type="character" w:styleId="ListLabel4156">
    <w:name w:val="ListLabel 4156"/>
    <w:qFormat/>
    <w:rPr>
      <w:rFonts w:cs="Wingdings"/>
    </w:rPr>
  </w:style>
  <w:style w:type="character" w:styleId="ListLabel4157">
    <w:name w:val="ListLabel 4157"/>
    <w:qFormat/>
    <w:rPr>
      <w:rFonts w:cs="Symbol"/>
    </w:rPr>
  </w:style>
  <w:style w:type="character" w:styleId="ListLabel4158">
    <w:name w:val="ListLabel 4158"/>
    <w:qFormat/>
    <w:rPr>
      <w:rFonts w:cs="Wingdings"/>
    </w:rPr>
  </w:style>
  <w:style w:type="character" w:styleId="ListLabel4159">
    <w:name w:val="ListLabel 4159"/>
    <w:qFormat/>
    <w:rPr>
      <w:rFonts w:cs="Wingdings"/>
    </w:rPr>
  </w:style>
  <w:style w:type="character" w:styleId="ListLabel4160">
    <w:name w:val="ListLabel 4160"/>
    <w:qFormat/>
    <w:rPr>
      <w:rFonts w:cs="Symbol"/>
      <w:sz w:val="24"/>
    </w:rPr>
  </w:style>
  <w:style w:type="character" w:styleId="ListLabel4161">
    <w:name w:val="ListLabel 4161"/>
    <w:qFormat/>
    <w:rPr>
      <w:rFonts w:cs="Times New Roman"/>
    </w:rPr>
  </w:style>
  <w:style w:type="character" w:styleId="ListLabel4162">
    <w:name w:val="ListLabel 4162"/>
    <w:qFormat/>
    <w:rPr>
      <w:rFonts w:cs="Wingdings"/>
    </w:rPr>
  </w:style>
  <w:style w:type="character" w:styleId="ListLabel4163">
    <w:name w:val="ListLabel 4163"/>
    <w:qFormat/>
    <w:rPr>
      <w:rFonts w:cs="Symbol"/>
    </w:rPr>
  </w:style>
  <w:style w:type="character" w:styleId="ListLabel4164">
    <w:name w:val="ListLabel 4164"/>
    <w:qFormat/>
    <w:rPr>
      <w:rFonts w:cs="Times New Roman"/>
    </w:rPr>
  </w:style>
  <w:style w:type="character" w:styleId="ListLabel4165">
    <w:name w:val="ListLabel 4165"/>
    <w:qFormat/>
    <w:rPr>
      <w:rFonts w:cs="Wingdings"/>
    </w:rPr>
  </w:style>
  <w:style w:type="character" w:styleId="ListLabel4166">
    <w:name w:val="ListLabel 4166"/>
    <w:qFormat/>
    <w:rPr>
      <w:rFonts w:cs="Symbol"/>
    </w:rPr>
  </w:style>
  <w:style w:type="character" w:styleId="ListLabel4167">
    <w:name w:val="ListLabel 4167"/>
    <w:qFormat/>
    <w:rPr>
      <w:rFonts w:cs="Times New Roman"/>
    </w:rPr>
  </w:style>
  <w:style w:type="character" w:styleId="ListLabel4168">
    <w:name w:val="ListLabel 4168"/>
    <w:qFormat/>
    <w:rPr>
      <w:rFonts w:cs="Wingdings"/>
    </w:rPr>
  </w:style>
  <w:style w:type="character" w:styleId="ListLabel4169">
    <w:name w:val="ListLabel 4169"/>
    <w:qFormat/>
    <w:rPr>
      <w:rFonts w:cs="Wingdings"/>
      <w:sz w:val="24"/>
    </w:rPr>
  </w:style>
  <w:style w:type="character" w:styleId="ListLabel4170">
    <w:name w:val="ListLabel 4170"/>
    <w:qFormat/>
    <w:rPr>
      <w:rFonts w:cs="Times New Roman"/>
    </w:rPr>
  </w:style>
  <w:style w:type="character" w:styleId="ListLabel4171">
    <w:name w:val="ListLabel 4171"/>
    <w:qFormat/>
    <w:rPr>
      <w:rFonts w:cs="Wingdings"/>
    </w:rPr>
  </w:style>
  <w:style w:type="character" w:styleId="ListLabel4172">
    <w:name w:val="ListLabel 4172"/>
    <w:qFormat/>
    <w:rPr>
      <w:rFonts w:cs="Symbol"/>
    </w:rPr>
  </w:style>
  <w:style w:type="character" w:styleId="ListLabel4173">
    <w:name w:val="ListLabel 4173"/>
    <w:qFormat/>
    <w:rPr>
      <w:rFonts w:cs="Times New Roman"/>
    </w:rPr>
  </w:style>
  <w:style w:type="character" w:styleId="ListLabel4174">
    <w:name w:val="ListLabel 4174"/>
    <w:qFormat/>
    <w:rPr>
      <w:rFonts w:cs="Wingdings"/>
    </w:rPr>
  </w:style>
  <w:style w:type="character" w:styleId="ListLabel4175">
    <w:name w:val="ListLabel 4175"/>
    <w:qFormat/>
    <w:rPr>
      <w:rFonts w:cs="Symbol"/>
    </w:rPr>
  </w:style>
  <w:style w:type="character" w:styleId="ListLabel4176">
    <w:name w:val="ListLabel 4176"/>
    <w:qFormat/>
    <w:rPr>
      <w:rFonts w:cs="Times New Roman"/>
    </w:rPr>
  </w:style>
  <w:style w:type="character" w:styleId="ListLabel4177">
    <w:name w:val="ListLabel 4177"/>
    <w:qFormat/>
    <w:rPr>
      <w:rFonts w:cs="Wingdings"/>
    </w:rPr>
  </w:style>
  <w:style w:type="character" w:styleId="ListLabel4178">
    <w:name w:val="ListLabel 4178"/>
    <w:qFormat/>
    <w:rPr>
      <w:rFonts w:ascii="Calibri" w:hAnsi="Calibri" w:cs="OpenSymbol"/>
      <w:b w:val="false"/>
      <w:sz w:val="24"/>
    </w:rPr>
  </w:style>
  <w:style w:type="character" w:styleId="ListLabel4179">
    <w:name w:val="ListLabel 4179"/>
    <w:qFormat/>
    <w:rPr>
      <w:rFonts w:cs="OpenSymbol"/>
    </w:rPr>
  </w:style>
  <w:style w:type="character" w:styleId="ListLabel4180">
    <w:name w:val="ListLabel 4180"/>
    <w:qFormat/>
    <w:rPr>
      <w:rFonts w:cs="OpenSymbol"/>
    </w:rPr>
  </w:style>
  <w:style w:type="character" w:styleId="ListLabel4181">
    <w:name w:val="ListLabel 4181"/>
    <w:qFormat/>
    <w:rPr>
      <w:rFonts w:cs="OpenSymbol"/>
    </w:rPr>
  </w:style>
  <w:style w:type="character" w:styleId="ListLabel4182">
    <w:name w:val="ListLabel 4182"/>
    <w:qFormat/>
    <w:rPr>
      <w:rFonts w:cs="OpenSymbol"/>
    </w:rPr>
  </w:style>
  <w:style w:type="character" w:styleId="ListLabel4183">
    <w:name w:val="ListLabel 4183"/>
    <w:qFormat/>
    <w:rPr>
      <w:rFonts w:cs="OpenSymbol"/>
    </w:rPr>
  </w:style>
  <w:style w:type="character" w:styleId="ListLabel4184">
    <w:name w:val="ListLabel 4184"/>
    <w:qFormat/>
    <w:rPr>
      <w:rFonts w:cs="OpenSymbol"/>
    </w:rPr>
  </w:style>
  <w:style w:type="character" w:styleId="ListLabel4185">
    <w:name w:val="ListLabel 4185"/>
    <w:qFormat/>
    <w:rPr>
      <w:rFonts w:cs="OpenSymbol"/>
    </w:rPr>
  </w:style>
  <w:style w:type="character" w:styleId="ListLabel4186">
    <w:name w:val="ListLabel 4186"/>
    <w:qFormat/>
    <w:rPr>
      <w:rFonts w:cs="OpenSymbol"/>
    </w:rPr>
  </w:style>
  <w:style w:type="character" w:styleId="ListLabel4187">
    <w:name w:val="ListLabel 4187"/>
    <w:qFormat/>
    <w:rPr>
      <w:rFonts w:ascii="Calibri" w:hAnsi="Calibri" w:cs="OpenSymbol"/>
      <w:b w:val="false"/>
      <w:sz w:val="24"/>
    </w:rPr>
  </w:style>
  <w:style w:type="character" w:styleId="ListLabel4188">
    <w:name w:val="ListLabel 4188"/>
    <w:qFormat/>
    <w:rPr>
      <w:rFonts w:cs="OpenSymbol"/>
    </w:rPr>
  </w:style>
  <w:style w:type="character" w:styleId="ListLabel4189">
    <w:name w:val="ListLabel 4189"/>
    <w:qFormat/>
    <w:rPr>
      <w:rFonts w:cs="OpenSymbol"/>
    </w:rPr>
  </w:style>
  <w:style w:type="character" w:styleId="ListLabel4190">
    <w:name w:val="ListLabel 4190"/>
    <w:qFormat/>
    <w:rPr>
      <w:rFonts w:cs="OpenSymbol"/>
    </w:rPr>
  </w:style>
  <w:style w:type="character" w:styleId="ListLabel4191">
    <w:name w:val="ListLabel 4191"/>
    <w:qFormat/>
    <w:rPr>
      <w:rFonts w:cs="OpenSymbol"/>
    </w:rPr>
  </w:style>
  <w:style w:type="character" w:styleId="ListLabel4192">
    <w:name w:val="ListLabel 4192"/>
    <w:qFormat/>
    <w:rPr>
      <w:rFonts w:cs="OpenSymbol"/>
    </w:rPr>
  </w:style>
  <w:style w:type="character" w:styleId="ListLabel4193">
    <w:name w:val="ListLabel 4193"/>
    <w:qFormat/>
    <w:rPr>
      <w:rFonts w:cs="OpenSymbol"/>
    </w:rPr>
  </w:style>
  <w:style w:type="character" w:styleId="ListLabel4194">
    <w:name w:val="ListLabel 4194"/>
    <w:qFormat/>
    <w:rPr>
      <w:rFonts w:cs="OpenSymbol"/>
    </w:rPr>
  </w:style>
  <w:style w:type="character" w:styleId="ListLabel4195">
    <w:name w:val="ListLabel 4195"/>
    <w:qFormat/>
    <w:rPr>
      <w:rFonts w:cs="OpenSymbol"/>
    </w:rPr>
  </w:style>
  <w:style w:type="character" w:styleId="ListLabel4196">
    <w:name w:val="ListLabel 4196"/>
    <w:qFormat/>
    <w:rPr>
      <w:rFonts w:eastAsia="Arial Unicode MS" w:cs="Calibri"/>
      <w:sz w:val="24"/>
      <w:lang w:val="en-US"/>
    </w:rPr>
  </w:style>
  <w:style w:type="character" w:styleId="ListLabel4197">
    <w:name w:val="ListLabel 4197"/>
    <w:qFormat/>
    <w:rPr>
      <w:sz w:val="24"/>
    </w:rPr>
  </w:style>
  <w:style w:type="character" w:styleId="ListLabel4198">
    <w:name w:val="ListLabel 4198"/>
    <w:qFormat/>
    <w:rPr>
      <w:rFonts w:eastAsia="Arial Unicode MS" w:cs="Calibri"/>
      <w:sz w:val="24"/>
    </w:rPr>
  </w:style>
  <w:style w:type="character" w:styleId="ListLabel4199">
    <w:name w:val="ListLabel 4199"/>
    <w:qFormat/>
    <w:rPr>
      <w:rFonts w:eastAsia="Arial Unicode MS" w:cs="Calibri"/>
      <w:sz w:val="24"/>
      <w:lang w:val="el-GR"/>
    </w:rPr>
  </w:style>
  <w:style w:type="character" w:styleId="ListLabel4200">
    <w:name w:val="ListLabel 4200"/>
    <w:qFormat/>
    <w:rPr>
      <w:sz w:val="24"/>
      <w:lang w:val="el-GR"/>
    </w:rPr>
  </w:style>
  <w:style w:type="character" w:styleId="ListLabel4201">
    <w:name w:val="ListLabel 4201"/>
    <w:qFormat/>
    <w:rPr>
      <w:rFonts w:eastAsia="Arial Unicode MS"/>
      <w:bCs/>
      <w:sz w:val="24"/>
      <w:lang w:val="en-US"/>
    </w:rPr>
  </w:style>
  <w:style w:type="character" w:styleId="ListLabel4202">
    <w:name w:val="ListLabel 4202"/>
    <w:qFormat/>
    <w:rPr>
      <w:rFonts w:eastAsia="Arial Unicode MS"/>
      <w:bCs/>
      <w:sz w:val="24"/>
      <w:lang w:val="el-GR"/>
    </w:rPr>
  </w:style>
  <w:style w:type="character" w:styleId="ListLabel4203">
    <w:name w:val="ListLabel 4203"/>
    <w:qFormat/>
    <w:rPr>
      <w:rFonts w:cs="Tahoma"/>
      <w:i/>
      <w:iCs/>
      <w:color w:val="auto"/>
      <w:sz w:val="24"/>
    </w:rPr>
  </w:style>
  <w:style w:type="character" w:styleId="ListLabel4204">
    <w:name w:val="ListLabel 4204"/>
    <w:qFormat/>
    <w:rPr>
      <w:rFonts w:cs="Tahoma"/>
      <w:color w:val="auto"/>
      <w:sz w:val="24"/>
      <w:lang w:val="el-GR"/>
    </w:rPr>
  </w:style>
  <w:style w:type="character" w:styleId="ListLabel4205">
    <w:name w:val="ListLabel 4205"/>
    <w:qFormat/>
    <w:rPr>
      <w:rFonts w:ascii="Calibri" w:hAnsi="Calibri" w:cs="Calibri"/>
      <w:sz w:val="24"/>
      <w:szCs w:val="24"/>
    </w:rPr>
  </w:style>
  <w:style w:type="character" w:styleId="ListLabel4206">
    <w:name w:val="ListLabel 4206"/>
    <w:qFormat/>
    <w:rPr>
      <w:rFonts w:eastAsia="Arial Unicode MS" w:cs="Calibri"/>
      <w:sz w:val="24"/>
      <w:szCs w:val="24"/>
    </w:rPr>
  </w:style>
  <w:style w:type="character" w:styleId="ListLabel4207">
    <w:name w:val="ListLabel 4207"/>
    <w:qFormat/>
    <w:rPr>
      <w:rFonts w:eastAsia="Arial Unicode MS" w:cs="Times New Roman"/>
      <w:sz w:val="24"/>
      <w:lang w:val="el-GR" w:eastAsia="el-GR"/>
    </w:rPr>
  </w:style>
  <w:style w:type="character" w:styleId="ListLabel4208">
    <w:name w:val="ListLabel 4208"/>
    <w:qFormat/>
    <w:rPr>
      <w:rFonts w:cs="Tahoma"/>
      <w:sz w:val="24"/>
      <w:lang w:eastAsia="el-GR"/>
    </w:rPr>
  </w:style>
  <w:style w:type="character" w:styleId="ListLabel4209">
    <w:name w:val="ListLabel 4209"/>
    <w:qFormat/>
    <w:rPr>
      <w:rFonts w:cs="Tahoma"/>
      <w:sz w:val="24"/>
      <w:lang w:val="el-GR" w:eastAsia="el-GR"/>
    </w:rPr>
  </w:style>
  <w:style w:type="paragraph" w:styleId="Style18" w:customStyle="1">
    <w:name w:val="Επικεφαλίδα"/>
    <w:next w:val="Textbody"/>
    <w:qFormat/>
    <w:pPr>
      <w:keepNext w:val="true"/>
      <w:widowControl/>
      <w:overflowPunct w:val="true"/>
      <w:bidi w:val="0"/>
      <w:spacing w:lineRule="auto" w:line="276" w:before="240" w:after="120"/>
      <w:jc w:val="left"/>
    </w:pPr>
    <w:rPr>
      <w:rFonts w:ascii="Arial" w:hAnsi="Arial" w:eastAsia="MS Mincho" w:cs="Tahoma"/>
      <w:color w:val="auto"/>
      <w:kern w:val="2"/>
      <w:sz w:val="28"/>
      <w:szCs w:val="28"/>
      <w:lang w:val="el-GR" w:eastAsia="en-US" w:bidi="ar-SA"/>
    </w:rPr>
  </w:style>
  <w:style w:type="paragraph" w:styleId="Style19">
    <w:name w:val="Body Text"/>
    <w:basedOn w:val="Normal"/>
    <w:pPr>
      <w:spacing w:before="0" w:after="240"/>
    </w:pPr>
    <w:rPr/>
  </w:style>
  <w:style w:type="paragraph" w:styleId="Style20">
    <w:name w:val="List"/>
    <w:basedOn w:val="Style19"/>
    <w:pPr/>
    <w:rPr>
      <w:rFonts w:cs="Mangal"/>
    </w:rPr>
  </w:style>
  <w:style w:type="paragraph" w:styleId="Style21" w:customStyle="1">
    <w:name w:val="Caption"/>
    <w:basedOn w:val="Normal"/>
    <w:qFormat/>
    <w:pPr>
      <w:suppressLineNumbers/>
      <w:spacing w:before="120" w:after="120"/>
    </w:pPr>
    <w:rPr>
      <w:rFonts w:cs="Arial"/>
      <w:i/>
      <w:iCs/>
      <w:sz w:val="24"/>
      <w:szCs w:val="24"/>
    </w:rPr>
  </w:style>
  <w:style w:type="paragraph" w:styleId="Style22" w:customStyle="1">
    <w:name w:val="Ευρετήριο"/>
    <w:qFormat/>
    <w:pPr>
      <w:widowControl/>
      <w:suppressLineNumbers/>
      <w:overflowPunct w:val="true"/>
      <w:bidi w:val="0"/>
      <w:spacing w:lineRule="auto" w:line="276" w:before="0" w:after="200"/>
      <w:jc w:val="left"/>
    </w:pPr>
    <w:rPr>
      <w:rFonts w:ascii="Calibri" w:hAnsi="Calibri" w:eastAsia="Arial" w:cs="Tahoma"/>
      <w:color w:val="auto"/>
      <w:kern w:val="2"/>
      <w:sz w:val="22"/>
      <w:szCs w:val="22"/>
      <w:lang w:val="el-GR" w:eastAsia="en-US" w:bidi="ar-SA"/>
    </w:rPr>
  </w:style>
  <w:style w:type="paragraph" w:styleId="Caption">
    <w:name w:val="caption"/>
    <w:basedOn w:val="Normal"/>
    <w:qFormat/>
    <w:pPr>
      <w:suppressLineNumbers/>
      <w:spacing w:before="120" w:after="120"/>
    </w:pPr>
    <w:rPr>
      <w:rFonts w:cs="Mangal"/>
      <w:i/>
      <w:iCs/>
      <w:sz w:val="24"/>
    </w:rPr>
  </w:style>
  <w:style w:type="paragraph" w:styleId="FootnotesymbolCarZchn" w:customStyle="1">
    <w:name w:val="Footnote symbol Car Zchn"/>
    <w:basedOn w:val="Normal"/>
    <w:qFormat/>
    <w:pPr>
      <w:suppressAutoHyphens w:val="false"/>
      <w:spacing w:lineRule="exact" w:line="240" w:before="0" w:after="160"/>
    </w:pPr>
    <w:rPr>
      <w:rFonts w:ascii="Times New Roman" w:hAnsi="Times New Roman" w:cs="Times New Roman"/>
      <w:szCs w:val="22"/>
      <w:vertAlign w:val="superscript"/>
      <w:lang w:val="el-GR" w:eastAsia="el-GR"/>
    </w:rPr>
  </w:style>
  <w:style w:type="paragraph" w:styleId="Caption1" w:customStyle="1">
    <w:name w:val="Caption1"/>
    <w:basedOn w:val="Normal"/>
    <w:qFormat/>
    <w:pPr>
      <w:suppressLineNumbers/>
      <w:spacing w:before="120" w:after="120"/>
    </w:pPr>
    <w:rPr>
      <w:rFonts w:cs="Mangal"/>
      <w:i/>
      <w:iCs/>
      <w:sz w:val="24"/>
    </w:rPr>
  </w:style>
  <w:style w:type="paragraph" w:styleId="24" w:customStyle="1">
    <w:name w:val="Λεζάντα2"/>
    <w:basedOn w:val="Normal"/>
    <w:qFormat/>
    <w:pPr>
      <w:suppressLineNumbers/>
      <w:spacing w:before="120" w:after="120"/>
    </w:pPr>
    <w:rPr>
      <w:rFonts w:cs="Mangal"/>
      <w:i/>
      <w:iCs/>
      <w:sz w:val="24"/>
    </w:rPr>
  </w:style>
  <w:style w:type="paragraph" w:styleId="Caption11" w:customStyle="1">
    <w:name w:val="Caption11"/>
    <w:basedOn w:val="Normal"/>
    <w:qFormat/>
    <w:pPr>
      <w:suppressLineNumbers/>
      <w:spacing w:before="120" w:after="120"/>
    </w:pPr>
    <w:rPr>
      <w:rFonts w:cs="Mangal"/>
      <w:i/>
      <w:iCs/>
      <w:sz w:val="24"/>
    </w:rPr>
  </w:style>
  <w:style w:type="paragraph" w:styleId="WWCaption" w:customStyle="1">
    <w:name w:val="WW-Caption"/>
    <w:basedOn w:val="Normal"/>
    <w:qFormat/>
    <w:pPr>
      <w:suppressLineNumbers/>
      <w:spacing w:before="120" w:after="120"/>
    </w:pPr>
    <w:rPr>
      <w:rFonts w:cs="Mangal"/>
      <w:i/>
      <w:iCs/>
      <w:sz w:val="24"/>
    </w:rPr>
  </w:style>
  <w:style w:type="paragraph" w:styleId="WWCaption1" w:customStyle="1">
    <w:name w:val="WW-Caption1"/>
    <w:basedOn w:val="Normal"/>
    <w:qFormat/>
    <w:pPr>
      <w:suppressLineNumbers/>
      <w:spacing w:before="120" w:after="120"/>
    </w:pPr>
    <w:rPr>
      <w:rFonts w:cs="Mangal"/>
      <w:i/>
      <w:iCs/>
      <w:sz w:val="24"/>
    </w:rPr>
  </w:style>
  <w:style w:type="paragraph" w:styleId="WWCaption11" w:customStyle="1">
    <w:name w:val="WW-Caption11"/>
    <w:basedOn w:val="Normal"/>
    <w:qFormat/>
    <w:pPr>
      <w:suppressLineNumbers/>
      <w:spacing w:before="120" w:after="120"/>
    </w:pPr>
    <w:rPr>
      <w:rFonts w:cs="Mangal"/>
      <w:i/>
      <w:iCs/>
      <w:sz w:val="24"/>
    </w:rPr>
  </w:style>
  <w:style w:type="paragraph" w:styleId="WWCaption111" w:customStyle="1">
    <w:name w:val="WW-Caption111"/>
    <w:basedOn w:val="Normal"/>
    <w:qFormat/>
    <w:pPr>
      <w:suppressLineNumbers/>
      <w:spacing w:before="120" w:after="120"/>
    </w:pPr>
    <w:rPr>
      <w:rFonts w:cs="Mangal"/>
      <w:i/>
      <w:iCs/>
      <w:sz w:val="24"/>
    </w:rPr>
  </w:style>
  <w:style w:type="paragraph" w:styleId="WWCaption1111" w:customStyle="1">
    <w:name w:val="WW-Caption1111"/>
    <w:basedOn w:val="Normal"/>
    <w:qFormat/>
    <w:pPr>
      <w:suppressLineNumbers/>
      <w:spacing w:before="120" w:after="120"/>
    </w:pPr>
    <w:rPr>
      <w:rFonts w:cs="Mangal"/>
      <w:i/>
      <w:iCs/>
      <w:sz w:val="24"/>
    </w:rPr>
  </w:style>
  <w:style w:type="paragraph" w:styleId="WWCaption11111" w:customStyle="1">
    <w:name w:val="WW-Caption11111"/>
    <w:basedOn w:val="Normal"/>
    <w:qFormat/>
    <w:pPr>
      <w:suppressLineNumbers/>
      <w:spacing w:before="120" w:after="120"/>
    </w:pPr>
    <w:rPr>
      <w:rFonts w:cs="Mangal"/>
      <w:i/>
      <w:iCs/>
      <w:sz w:val="24"/>
    </w:rPr>
  </w:style>
  <w:style w:type="paragraph" w:styleId="WWCaption111111" w:customStyle="1">
    <w:name w:val="WW-Caption111111"/>
    <w:basedOn w:val="Normal"/>
    <w:qFormat/>
    <w:pPr>
      <w:suppressLineNumbers/>
      <w:spacing w:before="120" w:after="120"/>
    </w:pPr>
    <w:rPr>
      <w:rFonts w:cs="Mangal"/>
      <w:i/>
      <w:iCs/>
      <w:sz w:val="24"/>
    </w:rPr>
  </w:style>
  <w:style w:type="paragraph" w:styleId="WWCaption1111111" w:customStyle="1">
    <w:name w:val="WW-Caption1111111"/>
    <w:basedOn w:val="Normal"/>
    <w:qFormat/>
    <w:pPr>
      <w:suppressLineNumbers/>
      <w:spacing w:before="120" w:after="120"/>
    </w:pPr>
    <w:rPr>
      <w:rFonts w:cs="Mangal"/>
      <w:i/>
      <w:iCs/>
      <w:sz w:val="24"/>
    </w:rPr>
  </w:style>
  <w:style w:type="paragraph" w:styleId="WWCaption11111111" w:customStyle="1">
    <w:name w:val="WW-Caption11111111"/>
    <w:basedOn w:val="Normal"/>
    <w:qFormat/>
    <w:pPr>
      <w:suppressLineNumbers/>
      <w:spacing w:before="120" w:after="120"/>
    </w:pPr>
    <w:rPr>
      <w:rFonts w:cs="Mangal"/>
      <w:i/>
      <w:iCs/>
      <w:sz w:val="24"/>
    </w:rPr>
  </w:style>
  <w:style w:type="paragraph" w:styleId="WWCaption111111111" w:customStyle="1">
    <w:name w:val="WW-Caption111111111"/>
    <w:basedOn w:val="Normal"/>
    <w:qFormat/>
    <w:pPr>
      <w:suppressLineNumbers/>
      <w:spacing w:before="120" w:after="120"/>
    </w:pPr>
    <w:rPr>
      <w:rFonts w:cs="Mangal"/>
      <w:i/>
      <w:iCs/>
      <w:sz w:val="24"/>
    </w:rPr>
  </w:style>
  <w:style w:type="paragraph" w:styleId="WWCaption1111111111" w:customStyle="1">
    <w:name w:val="WW-Caption1111111111"/>
    <w:basedOn w:val="Normal"/>
    <w:qFormat/>
    <w:pPr>
      <w:suppressLineNumbers/>
      <w:spacing w:before="120" w:after="120"/>
    </w:pPr>
    <w:rPr>
      <w:rFonts w:cs="Mangal"/>
      <w:i/>
      <w:iCs/>
      <w:sz w:val="24"/>
    </w:rPr>
  </w:style>
  <w:style w:type="paragraph" w:styleId="16" w:customStyle="1">
    <w:name w:val="Λεζάντα1"/>
    <w:basedOn w:val="Normal"/>
    <w:qFormat/>
    <w:pPr>
      <w:suppressLineNumbers/>
      <w:spacing w:before="120" w:after="120"/>
    </w:pPr>
    <w:rPr>
      <w:rFonts w:cs="Mangal"/>
      <w:i/>
      <w:iCs/>
      <w:sz w:val="24"/>
    </w:rPr>
  </w:style>
  <w:style w:type="paragraph" w:styleId="WWCaption11111111111" w:customStyle="1">
    <w:name w:val="WW-Caption11111111111"/>
    <w:basedOn w:val="Normal"/>
    <w:qFormat/>
    <w:pPr>
      <w:suppressLineNumbers/>
      <w:spacing w:before="120" w:after="120"/>
    </w:pPr>
    <w:rPr>
      <w:rFonts w:cs="Mangal"/>
      <w:i/>
      <w:iCs/>
      <w:sz w:val="24"/>
    </w:rPr>
  </w:style>
  <w:style w:type="paragraph" w:styleId="WWCaption111111111111" w:customStyle="1">
    <w:name w:val="WW-Caption111111111111"/>
    <w:basedOn w:val="Normal"/>
    <w:qFormat/>
    <w:pPr>
      <w:suppressLineNumbers/>
      <w:spacing w:before="120" w:after="120"/>
    </w:pPr>
    <w:rPr>
      <w:rFonts w:cs="Mangal"/>
      <w:i/>
      <w:iCs/>
      <w:sz w:val="24"/>
    </w:rPr>
  </w:style>
  <w:style w:type="paragraph" w:styleId="WWCaption1111111111111" w:customStyle="1">
    <w:name w:val="WW-Caption1111111111111"/>
    <w:basedOn w:val="Normal"/>
    <w:qFormat/>
    <w:pPr>
      <w:suppressLineNumbers/>
      <w:spacing w:before="120" w:after="120"/>
    </w:pPr>
    <w:rPr>
      <w:rFonts w:cs="Mangal"/>
      <w:i/>
      <w:iCs/>
      <w:sz w:val="24"/>
    </w:rPr>
  </w:style>
  <w:style w:type="paragraph" w:styleId="WWCaption11111111111111" w:customStyle="1">
    <w:name w:val="WW-Caption11111111111111"/>
    <w:basedOn w:val="Normal"/>
    <w:qFormat/>
    <w:pPr>
      <w:suppressLineNumbers/>
      <w:spacing w:before="120" w:after="120"/>
    </w:pPr>
    <w:rPr>
      <w:rFonts w:cs="Mangal"/>
      <w:i/>
      <w:iCs/>
      <w:sz w:val="24"/>
    </w:rPr>
  </w:style>
  <w:style w:type="paragraph" w:styleId="Bullet" w:customStyle="1">
    <w:name w:val="Bullet"/>
    <w:basedOn w:val="Normal"/>
    <w:qFormat/>
    <w:pPr>
      <w:tabs>
        <w:tab w:val="clear" w:pos="720"/>
        <w:tab w:val="left" w:pos="397" w:leader="none"/>
      </w:tabs>
      <w:spacing w:before="0" w:after="100"/>
      <w:ind w:left="397" w:right="0" w:hanging="397"/>
    </w:pPr>
    <w:rPr>
      <w:rFonts w:eastAsia="MS Mincho"/>
      <w:lang w:val="en-US" w:eastAsia="ja-JP"/>
    </w:rPr>
  </w:style>
  <w:style w:type="paragraph" w:styleId="17" w:customStyle="1">
    <w:name w:val="Ημερομηνία1"/>
    <w:basedOn w:val="Normal"/>
    <w:next w:val="Normal"/>
    <w:qFormat/>
    <w:pPr>
      <w:spacing w:before="0" w:after="100"/>
    </w:pPr>
    <w:rPr>
      <w:rFonts w:eastAsia="MS Mincho"/>
      <w:lang w:val="en-US" w:eastAsia="ja-JP"/>
    </w:rPr>
  </w:style>
  <w:style w:type="paragraph" w:styleId="DocTitle" w:customStyle="1">
    <w:name w:val="Doc Title"/>
    <w:basedOn w:val="1"/>
    <w:qFormat/>
    <w:pPr/>
    <w:rPr/>
  </w:style>
  <w:style w:type="paragraph" w:styleId="Inserttext" w:customStyle="1">
    <w:name w:val="insert text"/>
    <w:basedOn w:val="Normal"/>
    <w:qFormat/>
    <w:pPr>
      <w:spacing w:before="0" w:after="100"/>
      <w:ind w:left="794" w:right="0" w:hanging="0"/>
    </w:pPr>
    <w:rPr>
      <w:rFonts w:eastAsia="MS Mincho"/>
      <w:lang w:val="en-US" w:eastAsia="ja-JP"/>
    </w:rPr>
  </w:style>
  <w:style w:type="paragraph" w:styleId="Style23" w:customStyle="1">
    <w:name w:val="Footer"/>
    <w:basedOn w:val="Normal"/>
    <w:pPr>
      <w:spacing w:before="0" w:after="100"/>
    </w:pPr>
    <w:rPr>
      <w:rFonts w:eastAsia="MS Mincho"/>
      <w:lang w:val="en-US" w:eastAsia="ja-JP"/>
    </w:rPr>
  </w:style>
  <w:style w:type="paragraph" w:styleId="Style24" w:customStyle="1">
    <w:name w:val="Header"/>
    <w:basedOn w:val="Normal"/>
    <w:pPr/>
    <w:rPr/>
  </w:style>
  <w:style w:type="paragraph" w:styleId="18" w:customStyle="1">
    <w:name w:val="Κείμενο πλαισίου1"/>
    <w:basedOn w:val="Normal"/>
    <w:qFormat/>
    <w:pPr/>
    <w:rPr>
      <w:rFonts w:ascii="Tahoma" w:hAnsi="Tahoma" w:cs="Tahoma"/>
      <w:sz w:val="16"/>
      <w:szCs w:val="16"/>
    </w:rPr>
  </w:style>
  <w:style w:type="paragraph" w:styleId="CommentText1" w:customStyle="1">
    <w:name w:val="Comment Text1"/>
    <w:basedOn w:val="Normal"/>
    <w:qFormat/>
    <w:pPr/>
    <w:rPr>
      <w:sz w:val="20"/>
      <w:szCs w:val="20"/>
    </w:rPr>
  </w:style>
  <w:style w:type="paragraph" w:styleId="CommentSubject1" w:customStyle="1">
    <w:name w:val="Comment Subject1"/>
    <w:basedOn w:val="CommentText1"/>
    <w:next w:val="CommentText1"/>
    <w:qFormat/>
    <w:pPr/>
    <w:rPr>
      <w:b/>
      <w:bCs/>
    </w:rPr>
  </w:style>
  <w:style w:type="paragraph" w:styleId="19" w:customStyle="1">
    <w:name w:val="Αναθεώρηση1"/>
    <w:qFormat/>
    <w:pPr>
      <w:widowControl/>
      <w:suppressAutoHyphens w:val="true"/>
      <w:overflowPunct w:val="true"/>
      <w:bidi w:val="0"/>
      <w:jc w:val="left"/>
    </w:pPr>
    <w:rPr>
      <w:rFonts w:ascii="Times New Roman" w:hAnsi="Times New Roman" w:eastAsia="Times New Roman" w:cs="Times New Roman"/>
      <w:color w:val="auto"/>
      <w:kern w:val="0"/>
      <w:sz w:val="24"/>
      <w:szCs w:val="24"/>
      <w:lang w:val="en-GB" w:eastAsia="zh-CN" w:bidi="ar-SA"/>
    </w:rPr>
  </w:style>
  <w:style w:type="paragraph" w:styleId="Western" w:customStyle="1">
    <w:name w:val="western"/>
    <w:basedOn w:val="Normal"/>
    <w:qFormat/>
    <w:pPr>
      <w:spacing w:before="280" w:after="200"/>
    </w:pPr>
    <w:rPr>
      <w:rFonts w:ascii="Arial Unicode MS" w:hAnsi="Arial Unicode MS" w:cs="Arial Unicode MS"/>
    </w:rPr>
  </w:style>
  <w:style w:type="paragraph" w:styleId="110" w:customStyle="1">
    <w:name w:val="Παράγραφος λίστας1"/>
    <w:basedOn w:val="Normal"/>
    <w:qFormat/>
    <w:pPr>
      <w:spacing w:before="0" w:after="200"/>
      <w:ind w:left="720" w:right="0" w:hanging="0"/>
      <w:contextualSpacing/>
    </w:pPr>
    <w:rPr/>
  </w:style>
  <w:style w:type="paragraph" w:styleId="Style25" w:customStyle="1">
    <w:name w:val="Footnote Text"/>
    <w:basedOn w:val="Normal"/>
    <w:pPr>
      <w:spacing w:before="0" w:after="0"/>
      <w:ind w:left="425" w:right="0" w:hanging="425"/>
    </w:pPr>
    <w:rPr>
      <w:sz w:val="18"/>
      <w:szCs w:val="20"/>
      <w:lang w:val="en-IE"/>
    </w:rPr>
  </w:style>
  <w:style w:type="paragraph" w:styleId="113" w:customStyle="1">
    <w:name w:val="TOC 1"/>
    <w:basedOn w:val="Normal"/>
    <w:next w:val="Normal"/>
    <w:pPr>
      <w:spacing w:before="120" w:after="120"/>
      <w:jc w:val="left"/>
    </w:pPr>
    <w:rPr>
      <w:b/>
      <w:bCs/>
      <w:caps/>
      <w:sz w:val="20"/>
      <w:szCs w:val="20"/>
    </w:rPr>
  </w:style>
  <w:style w:type="paragraph" w:styleId="25" w:customStyle="1">
    <w:name w:val="TOC 2"/>
    <w:basedOn w:val="Normal"/>
    <w:next w:val="Normal"/>
    <w:pPr>
      <w:spacing w:before="0" w:after="0"/>
      <w:ind w:left="220" w:right="0" w:hanging="0"/>
      <w:jc w:val="left"/>
    </w:pPr>
    <w:rPr>
      <w:smallCaps/>
      <w:sz w:val="20"/>
      <w:szCs w:val="20"/>
    </w:rPr>
  </w:style>
  <w:style w:type="paragraph" w:styleId="34" w:customStyle="1">
    <w:name w:val="TOC 3"/>
    <w:basedOn w:val="Normal"/>
    <w:next w:val="Normal"/>
    <w:pPr>
      <w:spacing w:before="0" w:after="0"/>
      <w:ind w:left="440" w:right="0" w:hanging="0"/>
      <w:jc w:val="left"/>
    </w:pPr>
    <w:rPr>
      <w:i/>
      <w:iCs/>
      <w:sz w:val="20"/>
      <w:szCs w:val="20"/>
    </w:rPr>
  </w:style>
  <w:style w:type="paragraph" w:styleId="43" w:customStyle="1">
    <w:name w:val="TOC 4"/>
    <w:basedOn w:val="Normal"/>
    <w:next w:val="Normal"/>
    <w:pPr>
      <w:spacing w:before="0" w:after="0"/>
      <w:ind w:left="660" w:right="0" w:hanging="0"/>
      <w:jc w:val="left"/>
    </w:pPr>
    <w:rPr>
      <w:sz w:val="18"/>
      <w:szCs w:val="18"/>
    </w:rPr>
  </w:style>
  <w:style w:type="paragraph" w:styleId="51" w:customStyle="1">
    <w:name w:val="TOC 5"/>
    <w:basedOn w:val="Normal"/>
    <w:next w:val="Normal"/>
    <w:pPr>
      <w:spacing w:before="0" w:after="0"/>
      <w:ind w:left="880" w:right="0" w:hanging="0"/>
      <w:jc w:val="left"/>
    </w:pPr>
    <w:rPr>
      <w:sz w:val="18"/>
      <w:szCs w:val="18"/>
    </w:rPr>
  </w:style>
  <w:style w:type="paragraph" w:styleId="61" w:customStyle="1">
    <w:name w:val="TOC 6"/>
    <w:basedOn w:val="Normal"/>
    <w:next w:val="Normal"/>
    <w:pPr>
      <w:spacing w:before="0" w:after="0"/>
      <w:ind w:left="1100" w:right="0" w:hanging="0"/>
      <w:jc w:val="left"/>
    </w:pPr>
    <w:rPr>
      <w:sz w:val="18"/>
      <w:szCs w:val="18"/>
    </w:rPr>
  </w:style>
  <w:style w:type="paragraph" w:styleId="71" w:customStyle="1">
    <w:name w:val="TOC 7"/>
    <w:basedOn w:val="Normal"/>
    <w:next w:val="Normal"/>
    <w:pPr>
      <w:spacing w:before="0" w:after="0"/>
      <w:ind w:left="1320" w:right="0" w:hanging="0"/>
      <w:jc w:val="left"/>
    </w:pPr>
    <w:rPr>
      <w:sz w:val="18"/>
      <w:szCs w:val="18"/>
    </w:rPr>
  </w:style>
  <w:style w:type="paragraph" w:styleId="8" w:customStyle="1">
    <w:name w:val="TOC 8"/>
    <w:basedOn w:val="Normal"/>
    <w:next w:val="Normal"/>
    <w:pPr>
      <w:spacing w:before="0" w:after="0"/>
      <w:ind w:left="1540" w:right="0" w:hanging="0"/>
      <w:jc w:val="left"/>
    </w:pPr>
    <w:rPr>
      <w:sz w:val="18"/>
      <w:szCs w:val="18"/>
    </w:rPr>
  </w:style>
  <w:style w:type="paragraph" w:styleId="9" w:customStyle="1">
    <w:name w:val="TOC 9"/>
    <w:basedOn w:val="Normal"/>
    <w:next w:val="Normal"/>
    <w:pPr>
      <w:spacing w:before="0" w:after="0"/>
      <w:ind w:left="1760" w:right="0" w:hanging="0"/>
      <w:jc w:val="left"/>
    </w:pPr>
    <w:rPr>
      <w:sz w:val="18"/>
      <w:szCs w:val="18"/>
    </w:rPr>
  </w:style>
  <w:style w:type="paragraph" w:styleId="Style110" w:customStyle="1">
    <w:name w:val="Style1"/>
    <w:basedOn w:val="DocTitle"/>
    <w:qFormat/>
    <w:pPr>
      <w:pageBreakBefore w:val="false"/>
      <w:pBdr>
        <w:top w:val="single" w:sz="18" w:space="1" w:color="000080"/>
        <w:left w:val="single" w:sz="18" w:space="4" w:color="000080"/>
        <w:bottom w:val="single" w:sz="18" w:space="1" w:color="000080"/>
        <w:right w:val="single" w:sz="18" w:space="4" w:color="000080"/>
      </w:pBdr>
      <w:jc w:val="center"/>
    </w:pPr>
    <w:rPr>
      <w:rFonts w:ascii="Calibri" w:hAnsi="Calibri" w:cs="Calibri"/>
      <w:sz w:val="40"/>
      <w:szCs w:val="40"/>
      <w:lang w:val="el-GR"/>
    </w:rPr>
  </w:style>
  <w:style w:type="paragraph" w:styleId="Contents" w:customStyle="1">
    <w:name w:val="Contents"/>
    <w:basedOn w:val="1"/>
    <w:qFormat/>
    <w:pPr/>
    <w:rPr>
      <w:rFonts w:ascii="Calibri" w:hAnsi="Calibri" w:cs="Calibri"/>
      <w:lang w:val="el-GR"/>
    </w:rPr>
  </w:style>
  <w:style w:type="paragraph" w:styleId="Style26" w:customStyle="1">
    <w:name w:val="Endnote Text"/>
    <w:basedOn w:val="Normal"/>
    <w:pPr/>
    <w:rPr>
      <w:sz w:val="20"/>
      <w:szCs w:val="20"/>
    </w:rPr>
  </w:style>
  <w:style w:type="paragraph" w:styleId="Default" w:customStyle="1">
    <w:name w:val="Default"/>
    <w:qFormat/>
    <w:pPr>
      <w:widowControl w:val="false"/>
      <w:suppressAutoHyphens w:val="true"/>
      <w:overflowPunct w:val="true"/>
      <w:bidi w:val="0"/>
      <w:jc w:val="left"/>
    </w:pPr>
    <w:rPr>
      <w:rFonts w:ascii="Cambria" w:hAnsi="Cambria" w:eastAsia="SimSun" w:cs="Mangal"/>
      <w:color w:val="000000"/>
      <w:kern w:val="0"/>
      <w:sz w:val="24"/>
      <w:szCs w:val="24"/>
      <w:lang w:val="el-GR" w:eastAsia="zh-CN" w:bidi="hi-IN"/>
    </w:rPr>
  </w:style>
  <w:style w:type="paragraph" w:styleId="Style27" w:customStyle="1">
    <w:name w:val="Προμορφοποιημένο κείμενο"/>
    <w:basedOn w:val="Normal"/>
    <w:qFormat/>
    <w:pPr/>
    <w:rPr/>
  </w:style>
  <w:style w:type="paragraph" w:styleId="Style28">
    <w:name w:val="Body Text Indent"/>
    <w:basedOn w:val="Normal"/>
    <w:pPr>
      <w:ind w:left="0" w:right="0" w:firstLine="1134"/>
    </w:pPr>
    <w:rPr>
      <w:rFonts w:ascii="Arial" w:hAnsi="Arial" w:cs="Arial"/>
    </w:rPr>
  </w:style>
  <w:style w:type="paragraph" w:styleId="Normalwithoutspacing" w:customStyle="1">
    <w:name w:val="normal_without_spacing"/>
    <w:basedOn w:val="Normal"/>
    <w:qFormat/>
    <w:pPr>
      <w:spacing w:before="0" w:after="60"/>
    </w:pPr>
    <w:rPr>
      <w:lang w:val="el-GR"/>
    </w:rPr>
  </w:style>
  <w:style w:type="paragraph" w:styleId="Foothanging" w:customStyle="1">
    <w:name w:val="foot_hanging"/>
    <w:basedOn w:val="Style25"/>
    <w:qFormat/>
    <w:pPr>
      <w:ind w:left="426" w:right="0" w:hanging="426"/>
    </w:pPr>
    <w:rPr>
      <w:szCs w:val="18"/>
    </w:rPr>
  </w:style>
  <w:style w:type="paragraph" w:styleId="HTML1" w:customStyle="1">
    <w:name w:val="Προ-διαμορφωμένο HTML1"/>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l-GR"/>
    </w:rPr>
  </w:style>
  <w:style w:type="paragraph" w:styleId="LOnormal" w:customStyle="1">
    <w:name w:val="LO-normal"/>
    <w:qFormat/>
    <w:pPr>
      <w:widowControl/>
      <w:suppressAutoHyphens w:val="true"/>
      <w:overflowPunct w:val="true"/>
      <w:bidi w:val="0"/>
      <w:spacing w:lineRule="auto" w:line="276"/>
      <w:jc w:val="left"/>
    </w:pPr>
    <w:rPr>
      <w:rFonts w:ascii="Arial" w:hAnsi="Arial" w:eastAsia="Times New Roman" w:cs="Arial"/>
      <w:color w:val="000000"/>
      <w:kern w:val="0"/>
      <w:sz w:val="22"/>
      <w:szCs w:val="22"/>
      <w:lang w:val="el-GR" w:eastAsia="zh-CN" w:bidi="ar-SA"/>
    </w:rPr>
  </w:style>
  <w:style w:type="paragraph" w:styleId="311" w:customStyle="1">
    <w:name w:val="Σώμα κείμενου με εσοχή 31"/>
    <w:basedOn w:val="Normal"/>
    <w:qFormat/>
    <w:pPr>
      <w:suppressAutoHyphens w:val="false"/>
      <w:spacing w:lineRule="auto" w:line="312"/>
      <w:ind w:left="283" w:right="0" w:hanging="0"/>
    </w:pPr>
    <w:rPr>
      <w:rFonts w:cs="Times New Roman"/>
      <w:sz w:val="16"/>
      <w:szCs w:val="16"/>
    </w:rPr>
  </w:style>
  <w:style w:type="paragraph" w:styleId="114" w:customStyle="1">
    <w:name w:val="Χωρίς διάστιχο1"/>
    <w:qFormat/>
    <w:pPr>
      <w:widowControl/>
      <w:suppressAutoHyphens w:val="true"/>
      <w:overflowPunct w:val="true"/>
      <w:bidi w:val="0"/>
      <w:jc w:val="both"/>
    </w:pPr>
    <w:rPr>
      <w:rFonts w:ascii="Calibri" w:hAnsi="Calibri" w:eastAsia="Times New Roman" w:cs="Calibri"/>
      <w:color w:val="auto"/>
      <w:kern w:val="0"/>
      <w:sz w:val="22"/>
      <w:szCs w:val="24"/>
      <w:lang w:val="en-GB" w:eastAsia="zh-CN" w:bidi="ar-SA"/>
    </w:rPr>
  </w:style>
  <w:style w:type="paragraph" w:styleId="Style29" w:customStyle="1">
    <w:name w:val="Περιεχόμενα πίνακα"/>
    <w:qFormat/>
    <w:pPr>
      <w:widowControl/>
      <w:suppressLineNumbers/>
      <w:overflowPunct w:val="true"/>
      <w:bidi w:val="0"/>
      <w:spacing w:lineRule="auto" w:line="276" w:before="0" w:after="200"/>
      <w:jc w:val="left"/>
    </w:pPr>
    <w:rPr>
      <w:rFonts w:ascii="Calibri" w:hAnsi="Calibri" w:eastAsia="Arial" w:cs="Tahoma"/>
      <w:color w:val="auto"/>
      <w:kern w:val="2"/>
      <w:sz w:val="22"/>
      <w:szCs w:val="22"/>
      <w:lang w:val="el-GR" w:eastAsia="en-US" w:bidi="ar-SA"/>
    </w:rPr>
  </w:style>
  <w:style w:type="paragraph" w:styleId="Style30" w:customStyle="1">
    <w:name w:val="Επικεφαλίδα πίνακα"/>
    <w:qFormat/>
    <w:pPr>
      <w:widowControl/>
      <w:suppressLineNumbers/>
      <w:suppressAutoHyphens w:val="true"/>
      <w:overflowPunct w:val="true"/>
      <w:bidi w:val="0"/>
      <w:spacing w:lineRule="auto" w:line="276" w:before="0" w:after="200"/>
      <w:jc w:val="center"/>
      <w:textAlignment w:val="baseline"/>
    </w:pPr>
    <w:rPr>
      <w:rFonts w:ascii="Calibri" w:hAnsi="Calibri" w:eastAsia="Arial" w:cs="Tahoma"/>
      <w:b/>
      <w:bCs/>
      <w:color w:val="auto"/>
      <w:kern w:val="2"/>
      <w:sz w:val="22"/>
      <w:szCs w:val="22"/>
      <w:lang w:val="el-GR" w:eastAsia="en-US" w:bidi="ar-SA"/>
    </w:rPr>
  </w:style>
  <w:style w:type="paragraph" w:styleId="Footers" w:customStyle="1">
    <w:name w:val="footers"/>
    <w:basedOn w:val="Foothanging"/>
    <w:qFormat/>
    <w:pPr/>
    <w:rPr/>
  </w:style>
  <w:style w:type="paragraph" w:styleId="Standard" w:customStyle="1">
    <w:name w:val="Standard"/>
    <w:qFormat/>
    <w:pPr>
      <w:widowControl w:val="false"/>
      <w:suppressAutoHyphens w:val="true"/>
      <w:overflowPunct w:val="true"/>
      <w:bidi w:val="0"/>
      <w:jc w:val="left"/>
      <w:textAlignment w:val="baseline"/>
    </w:pPr>
    <w:rPr>
      <w:rFonts w:ascii="Times New Roman" w:hAnsi="Times New Roman" w:eastAsia="SimSun" w:cs="Lucida Sans"/>
      <w:color w:val="auto"/>
      <w:kern w:val="2"/>
      <w:sz w:val="24"/>
      <w:szCs w:val="24"/>
      <w:lang w:val="el-GR" w:eastAsia="zh-CN" w:bidi="hi-IN"/>
    </w:rPr>
  </w:style>
  <w:style w:type="paragraph" w:styleId="Textbody" w:customStyle="1">
    <w:name w:val="Text body"/>
    <w:basedOn w:val="Standard"/>
    <w:qFormat/>
    <w:pPr>
      <w:spacing w:before="0" w:after="120"/>
    </w:pPr>
    <w:rPr/>
  </w:style>
  <w:style w:type="paragraph" w:styleId="Footnote" w:customStyle="1">
    <w:name w:val="Footnote"/>
    <w:basedOn w:val="Standard"/>
    <w:qFormat/>
    <w:pPr>
      <w:suppressLineNumbers/>
      <w:ind w:left="283" w:right="0" w:hanging="283"/>
    </w:pPr>
    <w:rPr>
      <w:sz w:val="20"/>
      <w:szCs w:val="20"/>
    </w:rPr>
  </w:style>
  <w:style w:type="paragraph" w:styleId="312" w:customStyle="1">
    <w:name w:val="Σώμα κείμενου 31"/>
    <w:basedOn w:val="Normal"/>
    <w:qFormat/>
    <w:pPr/>
    <w:rPr>
      <w:sz w:val="16"/>
      <w:szCs w:val="16"/>
    </w:rPr>
  </w:style>
  <w:style w:type="paragraph" w:styleId="Fooot" w:customStyle="1">
    <w:name w:val="fooot"/>
    <w:basedOn w:val="Footers"/>
    <w:qFormat/>
    <w:pPr/>
    <w:rPr/>
  </w:style>
  <w:style w:type="paragraph" w:styleId="BalloonText">
    <w:name w:val="Balloon Text"/>
    <w:basedOn w:val="Normal"/>
    <w:qFormat/>
    <w:pPr>
      <w:spacing w:before="0" w:after="0"/>
    </w:pPr>
    <w:rPr>
      <w:rFonts w:ascii="Tahoma" w:hAnsi="Tahoma" w:cs="Tahoma"/>
      <w:sz w:val="16"/>
      <w:szCs w:val="16"/>
    </w:rPr>
  </w:style>
  <w:style w:type="paragraph" w:styleId="115" w:customStyle="1">
    <w:name w:val="Κείμενο σχολίου1"/>
    <w:basedOn w:val="Normal"/>
    <w:qFormat/>
    <w:pPr/>
    <w:rPr>
      <w:sz w:val="20"/>
      <w:szCs w:val="20"/>
    </w:rPr>
  </w:style>
  <w:style w:type="paragraph" w:styleId="Annotationtext">
    <w:name w:val="annotation text"/>
    <w:basedOn w:val="Normal"/>
    <w:qFormat/>
    <w:pPr/>
    <w:rPr>
      <w:sz w:val="20"/>
      <w:szCs w:val="20"/>
    </w:rPr>
  </w:style>
  <w:style w:type="paragraph" w:styleId="Annotationsubject">
    <w:name w:val="annotation subject"/>
    <w:basedOn w:val="115"/>
    <w:next w:val="115"/>
    <w:qFormat/>
    <w:pPr/>
    <w:rPr>
      <w:b/>
      <w:bCs/>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n-US"/>
    </w:rPr>
  </w:style>
  <w:style w:type="paragraph" w:styleId="Revision">
    <w:name w:val="Revision"/>
    <w:qFormat/>
    <w:pPr>
      <w:widowControl/>
      <w:suppressAutoHyphens w:val="true"/>
      <w:overflowPunct w:val="true"/>
      <w:bidi w:val="0"/>
      <w:jc w:val="left"/>
    </w:pPr>
    <w:rPr>
      <w:rFonts w:ascii="Calibri" w:hAnsi="Calibri" w:eastAsia="Times New Roman" w:cs="Calibri"/>
      <w:color w:val="auto"/>
      <w:kern w:val="0"/>
      <w:sz w:val="22"/>
      <w:szCs w:val="24"/>
      <w:lang w:val="en-GB" w:eastAsia="zh-CN" w:bidi="ar-SA"/>
    </w:rPr>
  </w:style>
  <w:style w:type="paragraph" w:styleId="211" w:customStyle="1">
    <w:name w:val="Λίστα με κουκκίδες 21"/>
    <w:basedOn w:val="Normal"/>
    <w:qFormat/>
    <w:pPr>
      <w:tabs>
        <w:tab w:val="clear" w:pos="720"/>
        <w:tab w:val="left" w:pos="643" w:leader="none"/>
      </w:tabs>
      <w:suppressAutoHyphens w:val="false"/>
      <w:spacing w:lineRule="auto" w:line="360" w:before="0" w:after="0"/>
      <w:ind w:left="643" w:right="0" w:hanging="360"/>
    </w:pPr>
    <w:rPr>
      <w:rFonts w:ascii="Trebuchet MS" w:hAnsi="Trebuchet MS" w:cs="Times New Roman"/>
      <w:szCs w:val="20"/>
      <w:lang w:val="en-US"/>
    </w:rPr>
  </w:style>
  <w:style w:type="paragraph" w:styleId="10" w:customStyle="1">
    <w:name w:val="Περιεχόμενα 10"/>
    <w:basedOn w:val="Style22"/>
    <w:qFormat/>
    <w:pPr>
      <w:tabs>
        <w:tab w:val="clear" w:pos="720"/>
        <w:tab w:val="right" w:pos="7091" w:leader="dot"/>
      </w:tabs>
      <w:ind w:left="2547" w:right="0" w:hanging="0"/>
    </w:pPr>
    <w:rPr/>
  </w:style>
  <w:style w:type="paragraph" w:styleId="CharChar2CharCharCharCharCharCharCharCharCharChar" w:customStyle="1">
    <w:name w:val="Char Char2 Char Char Char Char Char Char Char Char Char Char"/>
    <w:basedOn w:val="Normal"/>
    <w:qFormat/>
    <w:pPr>
      <w:suppressAutoHyphens w:val="false"/>
      <w:spacing w:lineRule="exact" w:line="240" w:before="0" w:after="160"/>
      <w:jc w:val="left"/>
    </w:pPr>
    <w:rPr>
      <w:rFonts w:ascii="Arial" w:hAnsi="Arial" w:cs="Times New Roman"/>
      <w:sz w:val="20"/>
      <w:szCs w:val="20"/>
      <w:lang w:val="en-US" w:eastAsia="en-US"/>
    </w:rPr>
  </w:style>
  <w:style w:type="paragraph" w:styleId="Style51" w:customStyle="1">
    <w:name w:val="Style5"/>
    <w:basedOn w:val="Normal"/>
    <w:qFormat/>
    <w:pPr>
      <w:widowControl w:val="false"/>
      <w:suppressAutoHyphens w:val="false"/>
      <w:spacing w:before="0" w:after="0"/>
    </w:pPr>
    <w:rPr>
      <w:rFonts w:cs="Times New Roman"/>
      <w:sz w:val="24"/>
      <w:lang w:val="el-GR" w:eastAsia="el-GR"/>
    </w:rPr>
  </w:style>
  <w:style w:type="paragraph" w:styleId="Font5" w:customStyle="1">
    <w:name w:val="font5"/>
    <w:basedOn w:val="Normal"/>
    <w:qFormat/>
    <w:pPr>
      <w:suppressAutoHyphens w:val="false"/>
      <w:spacing w:before="280" w:after="280"/>
      <w:jc w:val="left"/>
    </w:pPr>
    <w:rPr>
      <w:rFonts w:ascii="Tahoma" w:hAnsi="Tahoma" w:cs="Tahoma"/>
      <w:b/>
      <w:bCs/>
      <w:color w:val="000000"/>
      <w:sz w:val="18"/>
      <w:szCs w:val="18"/>
      <w:lang w:val="en-US" w:eastAsia="en-US"/>
    </w:rPr>
  </w:style>
  <w:style w:type="paragraph" w:styleId="Font6" w:customStyle="1">
    <w:name w:val="font6"/>
    <w:basedOn w:val="Normal"/>
    <w:qFormat/>
    <w:pPr>
      <w:suppressAutoHyphens w:val="false"/>
      <w:spacing w:before="280" w:after="280"/>
      <w:jc w:val="left"/>
    </w:pPr>
    <w:rPr>
      <w:rFonts w:ascii="Tahoma" w:hAnsi="Tahoma" w:cs="Tahoma"/>
      <w:color w:val="000000"/>
      <w:sz w:val="18"/>
      <w:szCs w:val="18"/>
      <w:lang w:val="en-US" w:eastAsia="en-US"/>
    </w:rPr>
  </w:style>
  <w:style w:type="paragraph" w:styleId="Xl72" w:customStyle="1">
    <w:name w:val="xl72"/>
    <w:basedOn w:val="Normal"/>
    <w:qFormat/>
    <w:pPr>
      <w:suppressAutoHyphens w:val="false"/>
      <w:spacing w:before="280" w:after="280"/>
      <w:jc w:val="center"/>
      <w:textAlignment w:val="center"/>
    </w:pPr>
    <w:rPr>
      <w:rFonts w:ascii="Arial" w:hAnsi="Arial" w:cs="Arial"/>
      <w:color w:val="000000"/>
      <w:sz w:val="24"/>
      <w:lang w:val="en-US" w:eastAsia="en-US"/>
    </w:rPr>
  </w:style>
  <w:style w:type="paragraph" w:styleId="Xl73" w:customStyle="1">
    <w:name w:val="xl73"/>
    <w:basedOn w:val="Normal"/>
    <w:qFormat/>
    <w:pPr>
      <w:suppressAutoHyphens w:val="false"/>
      <w:spacing w:before="280" w:after="280"/>
      <w:jc w:val="center"/>
      <w:textAlignment w:val="center"/>
    </w:pPr>
    <w:rPr>
      <w:rFonts w:ascii="Arial" w:hAnsi="Arial" w:cs="Arial"/>
      <w:color w:val="000000"/>
      <w:sz w:val="24"/>
      <w:lang w:val="en-US" w:eastAsia="en-US"/>
    </w:rPr>
  </w:style>
  <w:style w:type="paragraph" w:styleId="Xl74" w:customStyle="1">
    <w:name w:val="xl74"/>
    <w:basedOn w:val="Normal"/>
    <w:qFormat/>
    <w:pPr>
      <w:suppressAutoHyphens w:val="false"/>
      <w:spacing w:before="280" w:after="280"/>
      <w:jc w:val="left"/>
    </w:pPr>
    <w:rPr>
      <w:rFonts w:ascii="Arial" w:hAnsi="Arial" w:cs="Arial"/>
      <w:b/>
      <w:bCs/>
      <w:sz w:val="24"/>
      <w:lang w:val="en-US" w:eastAsia="en-US"/>
    </w:rPr>
  </w:style>
  <w:style w:type="paragraph" w:styleId="Xl75" w:customStyle="1">
    <w:name w:val="xl75"/>
    <w:basedOn w:val="Normal"/>
    <w:qFormat/>
    <w:pPr>
      <w:suppressAutoHyphens w:val="false"/>
      <w:spacing w:before="280" w:after="280"/>
      <w:jc w:val="center"/>
      <w:textAlignment w:val="center"/>
    </w:pPr>
    <w:rPr>
      <w:rFonts w:ascii="Arial" w:hAnsi="Arial" w:cs="Arial"/>
      <w:sz w:val="24"/>
      <w:lang w:val="en-US" w:eastAsia="en-US"/>
    </w:rPr>
  </w:style>
  <w:style w:type="paragraph" w:styleId="Xl76" w:customStyle="1">
    <w:name w:val="xl76"/>
    <w:basedOn w:val="Normal"/>
    <w:qFormat/>
    <w:pPr>
      <w:suppressAutoHyphens w:val="false"/>
      <w:spacing w:before="280" w:after="280"/>
      <w:jc w:val="left"/>
    </w:pPr>
    <w:rPr>
      <w:rFonts w:ascii="Arial" w:hAnsi="Arial" w:cs="Arial"/>
      <w:sz w:val="24"/>
      <w:lang w:val="en-US" w:eastAsia="en-US"/>
    </w:rPr>
  </w:style>
  <w:style w:type="paragraph" w:styleId="Xl77" w:customStyle="1">
    <w:name w:val="xl77"/>
    <w:basedOn w:val="Normal"/>
    <w:qFormat/>
    <w:pPr>
      <w:suppressAutoHyphens w:val="false"/>
      <w:spacing w:before="280" w:after="280"/>
      <w:jc w:val="left"/>
    </w:pPr>
    <w:rPr>
      <w:rFonts w:ascii="Arial" w:hAnsi="Arial" w:cs="Arial"/>
      <w:sz w:val="24"/>
      <w:lang w:val="en-US" w:eastAsia="en-US"/>
    </w:rPr>
  </w:style>
  <w:style w:type="paragraph" w:styleId="Xl78" w:customStyle="1">
    <w:name w:val="xl78"/>
    <w:basedOn w:val="Normal"/>
    <w:qFormat/>
    <w:pPr>
      <w:suppressAutoHyphens w:val="false"/>
      <w:spacing w:before="280" w:after="280"/>
      <w:jc w:val="left"/>
      <w:textAlignment w:val="top"/>
    </w:pPr>
    <w:rPr>
      <w:rFonts w:ascii="Arial" w:hAnsi="Arial" w:cs="Arial"/>
      <w:color w:val="000000"/>
      <w:sz w:val="24"/>
      <w:lang w:val="en-US" w:eastAsia="en-US"/>
    </w:rPr>
  </w:style>
  <w:style w:type="paragraph" w:styleId="Xl79" w:customStyle="1">
    <w:name w:val="xl79"/>
    <w:basedOn w:val="Normal"/>
    <w:qFormat/>
    <w:pPr>
      <w:suppressAutoHyphens w:val="false"/>
      <w:spacing w:before="280" w:after="280"/>
      <w:jc w:val="center"/>
      <w:textAlignment w:val="center"/>
    </w:pPr>
    <w:rPr>
      <w:rFonts w:ascii="Arial" w:hAnsi="Arial" w:cs="Arial"/>
      <w:b/>
      <w:bCs/>
      <w:color w:val="000000"/>
      <w:sz w:val="24"/>
      <w:lang w:val="en-US" w:eastAsia="en-US"/>
    </w:rPr>
  </w:style>
  <w:style w:type="paragraph" w:styleId="Xl80" w:customStyle="1">
    <w:name w:val="xl80"/>
    <w:basedOn w:val="Normal"/>
    <w:qFormat/>
    <w:pPr>
      <w:suppressAutoHyphens w:val="false"/>
      <w:spacing w:before="280" w:after="280"/>
      <w:jc w:val="left"/>
      <w:textAlignment w:val="top"/>
    </w:pPr>
    <w:rPr>
      <w:rFonts w:ascii="Arial" w:hAnsi="Arial" w:cs="Arial"/>
      <w:color w:val="000000"/>
      <w:sz w:val="24"/>
      <w:lang w:val="en-US" w:eastAsia="en-US"/>
    </w:rPr>
  </w:style>
  <w:style w:type="paragraph" w:styleId="Xl81" w:customStyle="1">
    <w:name w:val="xl81"/>
    <w:basedOn w:val="Normal"/>
    <w:qFormat/>
    <w:pPr>
      <w:pBdr>
        <w:top w:val="single" w:sz="4" w:space="0" w:color="808080"/>
        <w:left w:val="single" w:sz="4" w:space="0" w:color="808080"/>
        <w:bottom w:val="single" w:sz="4" w:space="0" w:color="808080"/>
        <w:right w:val="single" w:sz="4" w:space="0" w:color="808080"/>
      </w:pBdr>
      <w:suppressAutoHyphens w:val="false"/>
      <w:spacing w:before="280" w:after="280"/>
      <w:jc w:val="center"/>
      <w:textAlignment w:val="center"/>
    </w:pPr>
    <w:rPr>
      <w:rFonts w:ascii="Arial" w:hAnsi="Arial" w:cs="Arial"/>
      <w:sz w:val="24"/>
      <w:lang w:val="en-US" w:eastAsia="en-US"/>
    </w:rPr>
  </w:style>
  <w:style w:type="paragraph" w:styleId="Xl82" w:customStyle="1">
    <w:name w:val="xl82"/>
    <w:basedOn w:val="Normal"/>
    <w:qFormat/>
    <w:pPr>
      <w:pBdr>
        <w:top w:val="single" w:sz="4" w:space="0" w:color="FFFFFF"/>
        <w:left w:val="single" w:sz="4" w:space="0" w:color="FFFFFF"/>
        <w:right w:val="single" w:sz="4" w:space="0" w:color="FFFFFF"/>
      </w:pBdr>
      <w:shd w:val="clear" w:color="auto" w:fill="0066CC"/>
      <w:suppressAutoHyphens w:val="false"/>
      <w:spacing w:before="280" w:after="280"/>
      <w:jc w:val="center"/>
      <w:textAlignment w:val="center"/>
    </w:pPr>
    <w:rPr>
      <w:rFonts w:ascii="Arial" w:hAnsi="Arial" w:cs="Arial"/>
      <w:b/>
      <w:bCs/>
      <w:color w:val="FFFFFF"/>
      <w:sz w:val="24"/>
      <w:lang w:val="en-US" w:eastAsia="en-US"/>
    </w:rPr>
  </w:style>
  <w:style w:type="paragraph" w:styleId="Xl83" w:customStyle="1">
    <w:name w:val="xl83"/>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b/>
      <w:bCs/>
      <w:sz w:val="24"/>
      <w:lang w:val="en-US" w:eastAsia="en-US"/>
    </w:rPr>
  </w:style>
  <w:style w:type="paragraph" w:styleId="Xl84" w:customStyle="1">
    <w:name w:val="xl84"/>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b/>
      <w:bCs/>
      <w:sz w:val="24"/>
      <w:lang w:val="en-US" w:eastAsia="en-US"/>
    </w:rPr>
  </w:style>
  <w:style w:type="paragraph" w:styleId="Xl85" w:customStyle="1">
    <w:name w:val="xl85"/>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sz w:val="24"/>
      <w:lang w:val="en-US" w:eastAsia="en-US"/>
    </w:rPr>
  </w:style>
  <w:style w:type="paragraph" w:styleId="Xl86" w:customStyle="1">
    <w:name w:val="xl86"/>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sz w:val="24"/>
      <w:lang w:val="en-US" w:eastAsia="en-US"/>
    </w:rPr>
  </w:style>
  <w:style w:type="paragraph" w:styleId="Xl87" w:customStyle="1">
    <w:name w:val="xl87"/>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b/>
      <w:bCs/>
      <w:sz w:val="24"/>
      <w:lang w:val="en-US" w:eastAsia="en-US"/>
    </w:rPr>
  </w:style>
  <w:style w:type="paragraph" w:styleId="Xl88" w:customStyle="1">
    <w:name w:val="xl88"/>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b/>
      <w:bCs/>
      <w:color w:val="000000"/>
      <w:sz w:val="24"/>
      <w:lang w:val="en-US" w:eastAsia="en-US"/>
    </w:rPr>
  </w:style>
  <w:style w:type="paragraph" w:styleId="Xl89" w:customStyle="1">
    <w:name w:val="xl89"/>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b/>
      <w:bCs/>
      <w:color w:val="000000"/>
      <w:sz w:val="24"/>
      <w:lang w:val="en-US" w:eastAsia="en-US"/>
    </w:rPr>
  </w:style>
  <w:style w:type="paragraph" w:styleId="Xl90" w:customStyle="1">
    <w:name w:val="xl90"/>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b/>
      <w:bCs/>
      <w:sz w:val="24"/>
      <w:lang w:val="en-US" w:eastAsia="en-US"/>
    </w:rPr>
  </w:style>
  <w:style w:type="paragraph" w:styleId="Xl91" w:customStyle="1">
    <w:name w:val="xl91"/>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b/>
      <w:bCs/>
      <w:color w:val="000000"/>
      <w:sz w:val="24"/>
      <w:lang w:val="en-US" w:eastAsia="en-US"/>
    </w:rPr>
  </w:style>
  <w:style w:type="paragraph" w:styleId="Xl92" w:customStyle="1">
    <w:name w:val="xl92"/>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sz w:val="24"/>
      <w:lang w:val="en-US" w:eastAsia="en-US"/>
    </w:rPr>
  </w:style>
  <w:style w:type="paragraph" w:styleId="Xl93" w:customStyle="1">
    <w:name w:val="xl93"/>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sz w:val="24"/>
      <w:lang w:val="en-US" w:eastAsia="en-US"/>
    </w:rPr>
  </w:style>
  <w:style w:type="paragraph" w:styleId="Xl94" w:customStyle="1">
    <w:name w:val="xl94"/>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b/>
      <w:bCs/>
      <w:color w:val="000000"/>
      <w:sz w:val="24"/>
      <w:lang w:val="en-US" w:eastAsia="en-US"/>
    </w:rPr>
  </w:style>
  <w:style w:type="paragraph" w:styleId="Xl95" w:customStyle="1">
    <w:name w:val="xl95"/>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b/>
      <w:bCs/>
      <w:color w:val="000000"/>
      <w:sz w:val="24"/>
      <w:lang w:val="en-US" w:eastAsia="en-US"/>
    </w:rPr>
  </w:style>
  <w:style w:type="paragraph" w:styleId="Xl96" w:customStyle="1">
    <w:name w:val="xl96"/>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b/>
      <w:bCs/>
      <w:color w:val="000000"/>
      <w:sz w:val="24"/>
      <w:lang w:val="en-US" w:eastAsia="en-US"/>
    </w:rPr>
  </w:style>
  <w:style w:type="paragraph" w:styleId="Xl97" w:customStyle="1">
    <w:name w:val="xl97"/>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b/>
      <w:bCs/>
      <w:sz w:val="24"/>
      <w:lang w:val="en-US" w:eastAsia="en-US"/>
    </w:rPr>
  </w:style>
  <w:style w:type="paragraph" w:styleId="Xl98" w:customStyle="1">
    <w:name w:val="xl98"/>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color w:val="000000"/>
      <w:sz w:val="24"/>
      <w:lang w:val="en-US" w:eastAsia="en-US"/>
    </w:rPr>
  </w:style>
  <w:style w:type="paragraph" w:styleId="Xl99" w:customStyle="1">
    <w:name w:val="xl99"/>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color w:val="000000"/>
      <w:sz w:val="24"/>
      <w:lang w:val="en-US" w:eastAsia="en-US"/>
    </w:rPr>
  </w:style>
  <w:style w:type="paragraph" w:styleId="Xl100" w:customStyle="1">
    <w:name w:val="xl100"/>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sz w:val="24"/>
      <w:lang w:val="en-US" w:eastAsia="en-US"/>
    </w:rPr>
  </w:style>
  <w:style w:type="paragraph" w:styleId="Xl101" w:customStyle="1">
    <w:name w:val="xl101"/>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b/>
      <w:bCs/>
      <w:sz w:val="24"/>
      <w:lang w:val="en-US" w:eastAsia="en-US"/>
    </w:rPr>
  </w:style>
  <w:style w:type="paragraph" w:styleId="Xl102" w:customStyle="1">
    <w:name w:val="xl102"/>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sz w:val="24"/>
      <w:lang w:val="en-US" w:eastAsia="en-US"/>
    </w:rPr>
  </w:style>
  <w:style w:type="paragraph" w:styleId="Xl103" w:customStyle="1">
    <w:name w:val="xl103"/>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color w:val="000000"/>
      <w:sz w:val="24"/>
      <w:lang w:val="en-US" w:eastAsia="en-US"/>
    </w:rPr>
  </w:style>
  <w:style w:type="paragraph" w:styleId="Xl104" w:customStyle="1">
    <w:name w:val="xl104"/>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sz w:val="24"/>
      <w:lang w:val="en-US" w:eastAsia="en-US"/>
    </w:rPr>
  </w:style>
  <w:style w:type="paragraph" w:styleId="Xl105" w:customStyle="1">
    <w:name w:val="xl105"/>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color w:val="000000"/>
      <w:sz w:val="24"/>
      <w:lang w:val="en-US" w:eastAsia="en-US"/>
    </w:rPr>
  </w:style>
  <w:style w:type="paragraph" w:styleId="Xl106" w:customStyle="1">
    <w:name w:val="xl106"/>
    <w:basedOn w:val="Normal"/>
    <w:qFormat/>
    <w:pPr>
      <w:pBdr>
        <w:top w:val="single" w:sz="4" w:space="0" w:color="808080"/>
        <w:left w:val="single" w:sz="4" w:space="0" w:color="808080"/>
        <w:bottom w:val="single" w:sz="4" w:space="0" w:color="808080"/>
        <w:right w:val="single" w:sz="4" w:space="0" w:color="808080"/>
      </w:pBdr>
      <w:shd w:val="clear" w:color="auto" w:fill="FFFFFF"/>
      <w:suppressAutoHyphens w:val="false"/>
      <w:spacing w:before="280" w:after="280"/>
      <w:jc w:val="left"/>
      <w:textAlignment w:val="top"/>
    </w:pPr>
    <w:rPr>
      <w:rFonts w:ascii="Arial" w:hAnsi="Arial" w:cs="Arial"/>
      <w:color w:val="000000"/>
      <w:sz w:val="24"/>
      <w:lang w:val="en-US"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http://www.efka.gov.gr/" TargetMode="External"/><Relationship Id="rId6" Type="http://schemas.openxmlformats.org/officeDocument/2006/relationships/hyperlink" Target="https://www.efka.gov.gr/el" TargetMode="External"/><Relationship Id="rId7" Type="http://schemas.openxmlformats.org/officeDocument/2006/relationships/image" Target="media/image2.wmf"/><Relationship Id="rId8" Type="http://schemas.openxmlformats.org/officeDocument/2006/relationships/image" Target="media/image3.wmf"/><Relationship Id="rId9" Type="http://schemas.openxmlformats.org/officeDocument/2006/relationships/image" Target="media/image4.wmf"/><Relationship Id="rId10" Type="http://schemas.openxmlformats.org/officeDocument/2006/relationships/package" Target="embeddings/oleObject1.xlsx"/><Relationship Id="rId11" Type="http://schemas.openxmlformats.org/officeDocument/2006/relationships/image" Target="media/image5.emf"/><Relationship Id="rId12" Type="http://schemas.openxmlformats.org/officeDocument/2006/relationships/image" Target="media/image6.wmf"/><Relationship Id="rId13" Type="http://schemas.openxmlformats.org/officeDocument/2006/relationships/hyperlink" Target="http://www.efka.gov.gr/" TargetMode="External"/><Relationship Id="rId14" Type="http://schemas.openxmlformats.org/officeDocument/2006/relationships/hyperlink" Target="http://www.efka.gov.gr/" TargetMode="External"/><Relationship Id="rId15" Type="http://schemas.openxmlformats.org/officeDocument/2006/relationships/hyperlink" Target="http://www.efka.gov.gr/" TargetMode="External"/><Relationship Id="rId16" Type="http://schemas.openxmlformats.org/officeDocument/2006/relationships/hyperlink" Target="http://www.efka.gov.gr/" TargetMode="External"/><Relationship Id="rId17" Type="http://schemas.openxmlformats.org/officeDocument/2006/relationships/hyperlink" Target="http://www.efka.gov.gr/" TargetMode="External"/><Relationship Id="rId18" Type="http://schemas.openxmlformats.org/officeDocument/2006/relationships/hyperlink" Target="http://www.efka.gov.gr/" TargetMode="External"/><Relationship Id="rId19" Type="http://schemas.openxmlformats.org/officeDocument/2006/relationships/hyperlink" Target="http://www.efka.gov.gr/" TargetMode="External"/><Relationship Id="rId20" Type="http://schemas.openxmlformats.org/officeDocument/2006/relationships/hyperlink" Target="http://www.promitheus.gov.gr/" TargetMode="External"/><Relationship Id="rId21" Type="http://schemas.openxmlformats.org/officeDocument/2006/relationships/hyperlink" Target="http://www.promitheus.gov.gr/" TargetMode="External"/><Relationship Id="rId22" Type="http://schemas.openxmlformats.org/officeDocument/2006/relationships/hyperlink" Target="https://espd.eprocurement.gov.gr/" TargetMode="External"/><Relationship Id="rId23" Type="http://schemas.openxmlformats.org/officeDocument/2006/relationships/hyperlink" Target="https://espd.eprocurement.gov.gr/" TargetMode="External"/><Relationship Id="rId24" Type="http://schemas.openxmlformats.org/officeDocument/2006/relationships/hyperlink" Target="https://espd.eprocurement.gov.gr/" TargetMode="External"/><Relationship Id="rId25" Type="http://schemas.openxmlformats.org/officeDocument/2006/relationships/hyperlink" Target="https://espd.eprocurement.gov.gr/" TargetMode="External"/><Relationship Id="rId26" Type="http://schemas.openxmlformats.org/officeDocument/2006/relationships/hyperlink" Target="https://espd.eprocurement.gov.gr/" TargetMode="External"/><Relationship Id="rId27" Type="http://schemas.openxmlformats.org/officeDocument/2006/relationships/hyperlink" Target="https://espd.eprocurement.gov.gr/" TargetMode="External"/><Relationship Id="rId28" Type="http://schemas.openxmlformats.org/officeDocument/2006/relationships/hyperlink" Target="https://espd.eprocurement.gov.gr/" TargetMode="External"/><Relationship Id="rId29" Type="http://schemas.openxmlformats.org/officeDocument/2006/relationships/hyperlink" Target="https://espd.eprocurement.gov.gr/" TargetMode="External"/><Relationship Id="rId30" Type="http://schemas.openxmlformats.org/officeDocument/2006/relationships/hyperlink" Target="https://espd.eprocurement.gov.gr/" TargetMode="External"/><Relationship Id="rId31" Type="http://schemas.openxmlformats.org/officeDocument/2006/relationships/hyperlink" Target="https://espd.eprocurement.gov.gr/" TargetMode="External"/><Relationship Id="rId32" Type="http://schemas.openxmlformats.org/officeDocument/2006/relationships/hyperlink" Target="http://www.promitheus.gov.gr/" TargetMode="External"/><Relationship Id="rId33" Type="http://schemas.openxmlformats.org/officeDocument/2006/relationships/hyperlink" Target="http://www.promitheus.gov.gr/" TargetMode="External"/><Relationship Id="rId34" Type="http://schemas.openxmlformats.org/officeDocument/2006/relationships/hyperlink" Target="http://www.promitheus.gov.gr/" TargetMode="External"/><Relationship Id="rId35" Type="http://schemas.openxmlformats.org/officeDocument/2006/relationships/hyperlink" Target="http://www.promitheus.gov.gr/" TargetMode="External"/><Relationship Id="rId36" Type="http://schemas.openxmlformats.org/officeDocument/2006/relationships/hyperlink" Target="http://www.promitheus.gov.gr/" TargetMode="External"/><Relationship Id="rId37" Type="http://schemas.openxmlformats.org/officeDocument/2006/relationships/hyperlink" Target="http://www.promitheus.gov.gr/" TargetMode="External"/><Relationship Id="rId38" Type="http://schemas.openxmlformats.org/officeDocument/2006/relationships/hyperlink" Target="http://www.promitheus.gov.gr/" TargetMode="External"/><Relationship Id="rId39" Type="http://schemas.openxmlformats.org/officeDocument/2006/relationships/hyperlink" Target="http://www.promitheus.gov.gr/" TargetMode="External"/><Relationship Id="rId40" Type="http://schemas.openxmlformats.org/officeDocument/2006/relationships/hyperlink" Target="http://www.promitheus.gov.gr/" TargetMode="External"/><Relationship Id="rId41" Type="http://schemas.openxmlformats.org/officeDocument/2006/relationships/hyperlink" Target="http://www.promitheus.gov.gr/" TargetMode="External"/><Relationship Id="rId42" Type="http://schemas.openxmlformats.org/officeDocument/2006/relationships/hyperlink" Target="http://www.promitheus.gov.gr/" TargetMode="External"/><Relationship Id="rId43" Type="http://schemas.openxmlformats.org/officeDocument/2006/relationships/hyperlink" Target="http://www.promitheus.gov.gr/" TargetMode="External"/><Relationship Id="rId44" Type="http://schemas.openxmlformats.org/officeDocument/2006/relationships/hyperlink" Target="http://www.promitheus.gov.gr/" TargetMode="External"/><Relationship Id="rId45" Type="http://schemas.openxmlformats.org/officeDocument/2006/relationships/hyperlink" Target="http://www.promitheus.gov.gr/" TargetMode="External"/><Relationship Id="rId46" Type="http://schemas.openxmlformats.org/officeDocument/2006/relationships/hyperlink" Target="http://www.eaadhsy.gr/n4412/art79a" TargetMode="External"/><Relationship Id="rId47" Type="http://schemas.openxmlformats.org/officeDocument/2006/relationships/package" Target="embeddings/oleObject2.xlsx"/><Relationship Id="rId48" Type="http://schemas.openxmlformats.org/officeDocument/2006/relationships/image" Target="media/image7.emf"/><Relationship Id="rId49" Type="http://schemas.openxmlformats.org/officeDocument/2006/relationships/footer" Target="footer3.xml"/><Relationship Id="rId50" Type="http://schemas.openxmlformats.org/officeDocument/2006/relationships/footer" Target="footer4.xml"/><Relationship Id="rId51" Type="http://schemas.openxmlformats.org/officeDocument/2006/relationships/header" Target="header1.xml"/><Relationship Id="rId52" Type="http://schemas.openxmlformats.org/officeDocument/2006/relationships/footer" Target="footer5.xml"/><Relationship Id="rId53" Type="http://schemas.openxmlformats.org/officeDocument/2006/relationships/image" Target="media/image8.png"/><Relationship Id="rId54" Type="http://schemas.openxmlformats.org/officeDocument/2006/relationships/package" Target="embeddings/oleObject3.xlsx"/><Relationship Id="rId55" Type="http://schemas.openxmlformats.org/officeDocument/2006/relationships/image" Target="media/image9.emf"/><Relationship Id="rId56" Type="http://schemas.openxmlformats.org/officeDocument/2006/relationships/header" Target="header2.xml"/><Relationship Id="rId57" Type="http://schemas.openxmlformats.org/officeDocument/2006/relationships/footer" Target="footer6.xml"/><Relationship Id="rId58" Type="http://schemas.openxmlformats.org/officeDocument/2006/relationships/hyperlink" Target="mailto:pysy.thessalias@efka.gov.gr" TargetMode="External"/><Relationship Id="rId59" Type="http://schemas.openxmlformats.org/officeDocument/2006/relationships/hyperlink" Target="mailto:dpo@efka.gov.gr" TargetMode="External"/><Relationship Id="rId60" Type="http://schemas.openxmlformats.org/officeDocument/2006/relationships/hyperlink" Target="mailto:dpo@efka.gov.gr" TargetMode="External"/><Relationship Id="rId61" Type="http://schemas.openxmlformats.org/officeDocument/2006/relationships/hyperlink" Target="mailto:dpo@efka.gov.gr" TargetMode="External"/><Relationship Id="rId62" Type="http://schemas.openxmlformats.org/officeDocument/2006/relationships/hyperlink" Target="mailto:dpo@efka.gov.gr" TargetMode="External"/><Relationship Id="rId63" Type="http://schemas.openxmlformats.org/officeDocument/2006/relationships/hyperlink" Target="mailto:dpo@efka.gov.gr" TargetMode="External"/><Relationship Id="rId64" Type="http://schemas.openxmlformats.org/officeDocument/2006/relationships/hyperlink" Target="mailto:dpo@efka.gov.gr" TargetMode="External"/><Relationship Id="rId65" Type="http://schemas.openxmlformats.org/officeDocument/2006/relationships/hyperlink" Target="mailto:dpo@efka.gov.gr" TargetMode="External"/><Relationship Id="rId66" Type="http://schemas.openxmlformats.org/officeDocument/2006/relationships/image" Target="media/image10.png"/><Relationship Id="rId67" Type="http://schemas.openxmlformats.org/officeDocument/2006/relationships/header" Target="header3.xml"/><Relationship Id="rId68" Type="http://schemas.openxmlformats.org/officeDocument/2006/relationships/footer" Target="footer7.xml"/><Relationship Id="rId69" Type="http://schemas.openxmlformats.org/officeDocument/2006/relationships/footnotes" Target="footnotes.xml"/><Relationship Id="rId70" Type="http://schemas.openxmlformats.org/officeDocument/2006/relationships/numbering" Target="numbering.xml"/><Relationship Id="rId71" Type="http://schemas.openxmlformats.org/officeDocument/2006/relationships/fontTable" Target="fontTable.xml"/><Relationship Id="rId72" Type="http://schemas.openxmlformats.org/officeDocument/2006/relationships/settings" Target="settings.xml"/><Relationship Id="rId73"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espdint.eprocurement.gov.gr/" TargetMode="External"/><Relationship Id="rId2" Type="http://schemas.openxmlformats.org/officeDocument/2006/relationships/hyperlink" Target="https://espd.eprocurement.gov.gr/" TargetMode="External"/><Relationship Id="rId3" Type="http://schemas.openxmlformats.org/officeDocument/2006/relationships/hyperlink" Target="http://www.promitheus.gov.gr/" TargetMode="External"/><Relationship Id="rId4" Type="http://schemas.openxmlformats.org/officeDocument/2006/relationships/hyperlink" Target="https://eur-lex.europa.eu/legal-content/EL/TXT/HTML/?uri=CELEX:32016R0007R(01)&amp;from=E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Application>LibreOffice/6.2.1.2$Windows_x86 LibreOffice_project/7bcb35dc3024a62dea0caee87020152d1ee96e71</Application>
  <Pages>131</Pages>
  <Words>46235</Words>
  <Characters>276631</Characters>
  <CharactersWithSpaces>322278</CharactersWithSpaces>
  <Paragraphs>1979</Paragraphs>
  <Company>IKA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2023-07-06T08:53:00Z</dcterms:created>
  <dc:creator>eaadhsy</dc:creator>
  <dc:description/>
  <dc:language>el-GR</dc:language>
  <cp:lastModifiedBy/>
  <cp:lastPrinted>2023-07-03T09:48:00Z</cp:lastPrinted>
  <dcterms:modified xsi:type="dcterms:W3CDTF">2023-07-14T13:42:49Z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IKA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